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CB" w:rsidRPr="00350EF1" w:rsidRDefault="008C1ECB" w:rsidP="008C1ECB">
      <w:pPr>
        <w:spacing w:before="120" w:after="120" w:line="360" w:lineRule="auto"/>
        <w:ind w:right="567"/>
        <w:jc w:val="center"/>
        <w:rPr>
          <w:rFonts w:ascii="Garamond" w:hAnsi="Garamond"/>
          <w:b/>
          <w:bCs/>
          <w:i/>
          <w:iCs/>
          <w:sz w:val="22"/>
          <w:szCs w:val="22"/>
          <w:u w:val="single"/>
        </w:rPr>
      </w:pPr>
      <w:bookmarkStart w:id="0" w:name="_GoBack"/>
      <w:bookmarkEnd w:id="0"/>
      <w:smartTag w:uri="urn:schemas-microsoft-com:office:smarttags" w:element="PersonName">
        <w:smartTagPr>
          <w:attr w:name="ProductID" w:val="LA POLITIZACIÓN DE"/>
        </w:smartTagPr>
        <w:r w:rsidRPr="00350EF1">
          <w:rPr>
            <w:rFonts w:ascii="Garamond" w:hAnsi="Garamond"/>
            <w:b/>
            <w:bCs/>
            <w:i/>
            <w:iCs/>
            <w:smallCaps/>
            <w:sz w:val="22"/>
            <w:szCs w:val="22"/>
            <w:u w:val="single"/>
          </w:rPr>
          <w:t>La politización de</w:t>
        </w:r>
      </w:smartTag>
      <w:r w:rsidRPr="00350EF1">
        <w:rPr>
          <w:rFonts w:ascii="Garamond" w:hAnsi="Garamond"/>
          <w:b/>
          <w:bCs/>
          <w:i/>
          <w:iCs/>
          <w:smallCaps/>
          <w:sz w:val="22"/>
          <w:szCs w:val="22"/>
          <w:u w:val="single"/>
        </w:rPr>
        <w:t xml:space="preserve"> la “cultura”</w:t>
      </w:r>
      <w:r w:rsidRPr="00350EF1">
        <w:rPr>
          <w:rStyle w:val="Refdenotaalpie"/>
          <w:rFonts w:ascii="Garamond" w:hAnsi="Garamond"/>
          <w:b/>
          <w:bCs/>
          <w:i/>
          <w:iCs/>
          <w:sz w:val="22"/>
          <w:szCs w:val="22"/>
          <w:u w:val="single"/>
        </w:rPr>
        <w:footnoteReference w:id="1"/>
      </w:r>
    </w:p>
    <w:p w:rsidR="008C1ECB" w:rsidRPr="00350EF1" w:rsidRDefault="008C1ECB" w:rsidP="008C1ECB">
      <w:pPr>
        <w:pStyle w:val="Ttulo1"/>
        <w:spacing w:before="120" w:after="120" w:line="360" w:lineRule="auto"/>
        <w:ind w:right="567" w:hanging="27"/>
        <w:jc w:val="center"/>
        <w:rPr>
          <w:rStyle w:val="Refdenotaalpie"/>
          <w:rFonts w:ascii="Garamond" w:hAnsi="Garamond"/>
          <w:sz w:val="22"/>
          <w:szCs w:val="22"/>
        </w:rPr>
      </w:pPr>
      <w:proofErr w:type="spellStart"/>
      <w:r w:rsidRPr="00350EF1">
        <w:rPr>
          <w:rFonts w:ascii="Garamond" w:hAnsi="Garamond"/>
          <w:sz w:val="22"/>
          <w:szCs w:val="22"/>
        </w:rPr>
        <w:t>Susan</w:t>
      </w:r>
      <w:proofErr w:type="spellEnd"/>
      <w:r w:rsidRPr="00350EF1">
        <w:rPr>
          <w:rFonts w:ascii="Garamond" w:hAnsi="Garamond"/>
          <w:sz w:val="22"/>
          <w:szCs w:val="22"/>
        </w:rPr>
        <w:t xml:space="preserve"> Wright</w:t>
      </w:r>
      <w:r w:rsidRPr="00350EF1">
        <w:rPr>
          <w:rStyle w:val="Refdenotaalpie"/>
          <w:rFonts w:ascii="Garamond" w:hAnsi="Garamond"/>
          <w:sz w:val="22"/>
          <w:szCs w:val="22"/>
          <w:lang w:val="en-GB"/>
        </w:rPr>
        <w:footnoteReference w:id="2"/>
      </w:r>
    </w:p>
    <w:p w:rsidR="008C1ECB" w:rsidRPr="00350EF1" w:rsidRDefault="008C1ECB" w:rsidP="008C1ECB">
      <w:pPr>
        <w:tabs>
          <w:tab w:val="left" w:pos="9360"/>
        </w:tabs>
        <w:spacing w:before="120" w:after="120" w:line="360" w:lineRule="auto"/>
        <w:ind w:right="99"/>
        <w:jc w:val="both"/>
        <w:rPr>
          <w:rFonts w:ascii="Garamond" w:hAnsi="Garamond"/>
          <w:sz w:val="22"/>
          <w:szCs w:val="22"/>
        </w:rPr>
      </w:pPr>
      <w:r>
        <w:rPr>
          <w:rFonts w:ascii="Garamond" w:hAnsi="Garamond"/>
          <w:sz w:val="22"/>
          <w:szCs w:val="22"/>
          <w:lang w:val="es-ES_tradnl"/>
        </w:rPr>
        <w:t xml:space="preserve">                      </w:t>
      </w:r>
      <w:r w:rsidRPr="00350EF1">
        <w:rPr>
          <w:rFonts w:ascii="Garamond" w:hAnsi="Garamond"/>
          <w:sz w:val="22"/>
          <w:szCs w:val="22"/>
          <w:lang w:val="es-ES_tradnl"/>
        </w:rPr>
        <w:t xml:space="preserve">(…) En 1997 encaré los desarrollos contemporáneos de uno de nuestros más antiguos conceptos, “cultura”. </w:t>
      </w:r>
      <w:r w:rsidRPr="00350EF1">
        <w:rPr>
          <w:rFonts w:ascii="Garamond" w:hAnsi="Garamond"/>
          <w:sz w:val="22"/>
          <w:szCs w:val="22"/>
        </w:rPr>
        <w:t xml:space="preserve">¿Por qué ser tan audaz como para involucrarme con una palabra sobre la cual Williams (1976: 87) declaró que era una de las dos o tres más complicadas del idioma inglés y que en la antropología británica, norteamericana y europea ha tenido historias complejas, disputadas y muy diferentes? Para mediados de siglo, </w:t>
      </w:r>
      <w:proofErr w:type="spellStart"/>
      <w:r w:rsidRPr="00350EF1">
        <w:rPr>
          <w:rFonts w:ascii="Garamond" w:hAnsi="Garamond"/>
          <w:sz w:val="22"/>
          <w:szCs w:val="22"/>
        </w:rPr>
        <w:t>Kroeber</w:t>
      </w:r>
      <w:proofErr w:type="spellEnd"/>
      <w:r w:rsidRPr="00350EF1">
        <w:rPr>
          <w:rFonts w:ascii="Garamond" w:hAnsi="Garamond"/>
          <w:sz w:val="22"/>
          <w:szCs w:val="22"/>
        </w:rPr>
        <w:t xml:space="preserve"> y </w:t>
      </w:r>
      <w:proofErr w:type="spellStart"/>
      <w:r w:rsidRPr="00350EF1">
        <w:rPr>
          <w:rFonts w:ascii="Garamond" w:hAnsi="Garamond"/>
          <w:sz w:val="22"/>
          <w:szCs w:val="22"/>
        </w:rPr>
        <w:t>Kluckhohn</w:t>
      </w:r>
      <w:proofErr w:type="spellEnd"/>
      <w:r w:rsidRPr="00350EF1">
        <w:rPr>
          <w:rFonts w:ascii="Garamond" w:hAnsi="Garamond"/>
          <w:sz w:val="22"/>
          <w:szCs w:val="22"/>
        </w:rPr>
        <w:t xml:space="preserve"> habían encontrado 164 definiciones en su famosa revisión de lo que los antropólogos querían significar por cultura (1952: 149). Para 1970, cuando la antropología cultural se estableció en E.E.U.U. como uno de los cuatro campos de la antropología, en la antropología británica el término “cultura” casi había desaparecido de vista. En los últimos diez años, con la ayuda de los estudios culturales, la “cultura” ha recuperado el centro de la escena en la antropología británica. El objetivo de este artículo no es hacer un recuento de cuántas definiciones de “cultura” han generado los antropólogos hacia fin de siglo. Más bien, el artículo profundiza en la observación de </w:t>
      </w:r>
      <w:proofErr w:type="spellStart"/>
      <w:r w:rsidRPr="00350EF1">
        <w:rPr>
          <w:rFonts w:ascii="Garamond" w:hAnsi="Garamond"/>
          <w:sz w:val="22"/>
          <w:szCs w:val="22"/>
        </w:rPr>
        <w:t>Kroeber</w:t>
      </w:r>
      <w:proofErr w:type="spellEnd"/>
      <w:r w:rsidRPr="00350EF1">
        <w:rPr>
          <w:rFonts w:ascii="Garamond" w:hAnsi="Garamond"/>
          <w:sz w:val="22"/>
          <w:szCs w:val="22"/>
        </w:rPr>
        <w:t xml:space="preserve"> y </w:t>
      </w:r>
      <w:proofErr w:type="spellStart"/>
      <w:r w:rsidRPr="00350EF1">
        <w:rPr>
          <w:rFonts w:ascii="Garamond" w:hAnsi="Garamond"/>
          <w:sz w:val="22"/>
          <w:szCs w:val="22"/>
        </w:rPr>
        <w:t>Kluckhonn</w:t>
      </w:r>
      <w:proofErr w:type="spellEnd"/>
      <w:r w:rsidRPr="00350EF1">
        <w:rPr>
          <w:rFonts w:ascii="Garamond" w:hAnsi="Garamond"/>
          <w:sz w:val="22"/>
          <w:szCs w:val="22"/>
        </w:rPr>
        <w:t xml:space="preserve"> de que “la aparición de estas [definiciones] en el tiempo es interesante – dado que de hecho la distribución de todo fenómeno cultural ya sea en el espacio o el tiempo revela significación”. El objetivo es tratar la prominencia de la “cultura” en los ‘90 como un fenómeno cultural en sí. ¿Cuál es el significado de la reciente reaparición de la cultura como un concepto central en la antropología británica? El asunto no está confinado al debate disciplinario interno. </w:t>
      </w:r>
    </w:p>
    <w:p w:rsidR="008C1ECB" w:rsidRPr="00350EF1" w:rsidRDefault="008C1ECB" w:rsidP="008C1ECB">
      <w:pPr>
        <w:spacing w:before="120" w:after="120" w:line="360" w:lineRule="auto"/>
        <w:ind w:right="99" w:firstLine="900"/>
        <w:jc w:val="both"/>
        <w:rPr>
          <w:rFonts w:ascii="Garamond" w:hAnsi="Garamond"/>
          <w:sz w:val="22"/>
          <w:szCs w:val="22"/>
          <w:lang w:val="es-ES_tradnl"/>
        </w:rPr>
      </w:pPr>
      <w:r w:rsidRPr="00350EF1">
        <w:rPr>
          <w:rFonts w:ascii="Garamond" w:hAnsi="Garamond"/>
          <w:sz w:val="22"/>
          <w:szCs w:val="22"/>
        </w:rPr>
        <w:t xml:space="preserve">En la última década, políticos y tomadores de decisiones han introducido el término “cultura” en el discurso de diferentes “campos” (Bourdieu 1991) de la sociedad contemporánea. A menudo, los tomadores de decisiones y los comentaristas de los medios atribuyen legitimidad a sus discursos refiriéndose a la “cultura, en un sentido antropológico” – una frase que evita toda revisión al pretender que hay un significado de cultura (el suyo) que es a la vez demasiado auto-evidente como para que garantice la explicación y demasiado hondo como para que se sumerjan en él los no-antropólogos. ¿En qué forma los tomadores de decisiones (ya sean antropólogos o que se atribuyan legitimidad desde la antropología) están politizando la “cultura” y desplegando el concepto en una </w:t>
      </w:r>
      <w:r w:rsidRPr="00350EF1">
        <w:rPr>
          <w:rFonts w:ascii="Garamond" w:hAnsi="Garamond"/>
          <w:sz w:val="22"/>
          <w:szCs w:val="22"/>
        </w:rPr>
        <w:lastRenderedPageBreak/>
        <w:t xml:space="preserve">gama de territorios de poder? ¿Cómo pueden los antropólogos usar sus nuevos enfoques teóricos para explorar y revelar los efectos de los usos actuales de este concepto en la política contemporánea? </w:t>
      </w:r>
    </w:p>
    <w:p w:rsidR="008C1ECB" w:rsidRPr="00350EF1" w:rsidRDefault="008C1ECB" w:rsidP="008C1ECB">
      <w:pPr>
        <w:spacing w:before="120" w:after="120" w:line="360" w:lineRule="auto"/>
        <w:ind w:left="567" w:right="567" w:firstLine="709"/>
        <w:jc w:val="both"/>
        <w:rPr>
          <w:rFonts w:ascii="Garamond" w:hAnsi="Garamond"/>
          <w:sz w:val="22"/>
          <w:szCs w:val="22"/>
          <w:lang w:val="es-ES_tradnl"/>
        </w:rPr>
      </w:pPr>
      <w:r w:rsidRPr="00350EF1">
        <w:rPr>
          <w:rFonts w:ascii="Garamond" w:hAnsi="Garamond"/>
          <w:sz w:val="22"/>
          <w:szCs w:val="22"/>
          <w:lang w:val="es-ES_tradnl"/>
        </w:rPr>
        <w:t xml:space="preserve">En este artículo discutiré lo que llamo “viejos” y “nuevos” acercamientos a la “cultura”. </w:t>
      </w:r>
    </w:p>
    <w:p w:rsidR="008C1ECB" w:rsidRDefault="008C1ECB" w:rsidP="008C1ECB">
      <w:pPr>
        <w:tabs>
          <w:tab w:val="left" w:pos="9360"/>
        </w:tabs>
        <w:spacing w:before="120" w:after="120" w:line="360" w:lineRule="auto"/>
        <w:ind w:right="99"/>
        <w:jc w:val="center"/>
        <w:rPr>
          <w:rFonts w:ascii="Garamond" w:hAnsi="Garamond"/>
          <w:b/>
          <w:sz w:val="22"/>
          <w:szCs w:val="22"/>
          <w:lang w:val="es-ES_tradnl"/>
        </w:rPr>
      </w:pPr>
    </w:p>
    <w:p w:rsidR="008C1ECB" w:rsidRPr="00711C64" w:rsidRDefault="008C1ECB" w:rsidP="008C1ECB">
      <w:pPr>
        <w:tabs>
          <w:tab w:val="left" w:pos="9360"/>
        </w:tabs>
        <w:spacing w:before="120" w:after="120" w:line="360" w:lineRule="auto"/>
        <w:ind w:right="99"/>
        <w:jc w:val="center"/>
        <w:rPr>
          <w:rFonts w:ascii="Garamond" w:hAnsi="Garamond"/>
          <w:b/>
          <w:sz w:val="22"/>
          <w:szCs w:val="22"/>
          <w:u w:val="single"/>
          <w:lang w:val="es-ES_tradnl"/>
        </w:rPr>
      </w:pPr>
      <w:r w:rsidRPr="00711C64">
        <w:rPr>
          <w:rFonts w:ascii="Garamond" w:hAnsi="Garamond"/>
          <w:b/>
          <w:sz w:val="22"/>
          <w:szCs w:val="22"/>
          <w:u w:val="single"/>
          <w:lang w:val="es-ES_tradnl"/>
        </w:rPr>
        <w:t>Viejos significados de cultura</w:t>
      </w:r>
    </w:p>
    <w:p w:rsidR="008C1ECB" w:rsidRPr="00350EF1" w:rsidRDefault="008C1ECB" w:rsidP="008C1ECB">
      <w:pPr>
        <w:spacing w:before="120" w:after="120" w:line="360" w:lineRule="auto"/>
        <w:ind w:right="99" w:firstLine="900"/>
        <w:jc w:val="both"/>
        <w:rPr>
          <w:rFonts w:ascii="Garamond" w:hAnsi="Garamond"/>
          <w:sz w:val="22"/>
          <w:szCs w:val="22"/>
        </w:rPr>
      </w:pPr>
      <w:r>
        <w:rPr>
          <w:rFonts w:ascii="Garamond" w:hAnsi="Garamond"/>
          <w:sz w:val="22"/>
          <w:szCs w:val="22"/>
          <w:lang w:val="es-ES_tradnl"/>
        </w:rPr>
        <w:t xml:space="preserve">  </w:t>
      </w:r>
      <w:r w:rsidRPr="00711C64">
        <w:rPr>
          <w:rFonts w:ascii="Garamond" w:hAnsi="Garamond"/>
          <w:sz w:val="22"/>
          <w:szCs w:val="22"/>
          <w:lang w:val="es-ES_tradnl"/>
        </w:rPr>
        <w:t xml:space="preserve">A principios del siglo XX tomaron un tono radical las ideas de “cultura” promovidas por los antropólogos. La noción de </w:t>
      </w:r>
      <w:proofErr w:type="spellStart"/>
      <w:r w:rsidRPr="00711C64">
        <w:rPr>
          <w:rFonts w:ascii="Garamond" w:hAnsi="Garamond"/>
          <w:sz w:val="22"/>
          <w:szCs w:val="22"/>
          <w:lang w:val="es-ES_tradnl"/>
        </w:rPr>
        <w:t>Tylor</w:t>
      </w:r>
      <w:proofErr w:type="spellEnd"/>
      <w:r w:rsidRPr="00711C64">
        <w:rPr>
          <w:rFonts w:ascii="Garamond" w:hAnsi="Garamond"/>
          <w:sz w:val="22"/>
          <w:szCs w:val="22"/>
          <w:lang w:val="es-ES_tradnl"/>
        </w:rPr>
        <w:t xml:space="preserve"> (1871) de cultura como la totalidad del estilo de vida de un grupo o sociedad marcó un punto de partida para los antropólogos sociales modernos: “Cultura” es ese todo complejo que incluye</w:t>
      </w:r>
      <w:r w:rsidRPr="00350EF1">
        <w:rPr>
          <w:rFonts w:ascii="Garamond" w:hAnsi="Garamond"/>
          <w:i/>
          <w:sz w:val="22"/>
          <w:szCs w:val="22"/>
        </w:rPr>
        <w:t xml:space="preserve"> conocimiento, creencias, arte, moral, leyes, costumbre, y cualquier otra capacidad y hábito adquiridos por el hombre como miembro </w:t>
      </w:r>
      <w:r w:rsidRPr="00711C64">
        <w:rPr>
          <w:rFonts w:ascii="Garamond" w:hAnsi="Garamond"/>
          <w:sz w:val="22"/>
          <w:szCs w:val="22"/>
        </w:rPr>
        <w:t>de la sociedad</w:t>
      </w:r>
      <w:r w:rsidRPr="00350EF1">
        <w:rPr>
          <w:rFonts w:ascii="Garamond" w:hAnsi="Garamond"/>
          <w:sz w:val="22"/>
          <w:szCs w:val="22"/>
        </w:rPr>
        <w:t xml:space="preserve"> (</w:t>
      </w:r>
      <w:proofErr w:type="spellStart"/>
      <w:r w:rsidRPr="00350EF1">
        <w:rPr>
          <w:rFonts w:ascii="Garamond" w:hAnsi="Garamond"/>
          <w:sz w:val="22"/>
          <w:szCs w:val="22"/>
        </w:rPr>
        <w:t>Tylor</w:t>
      </w:r>
      <w:proofErr w:type="spellEnd"/>
      <w:r w:rsidRPr="00350EF1">
        <w:rPr>
          <w:rFonts w:ascii="Garamond" w:hAnsi="Garamond"/>
          <w:sz w:val="22"/>
          <w:szCs w:val="22"/>
        </w:rPr>
        <w:t xml:space="preserve">, 1871: 1) </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Si éste fue el punto de partida, no constituyó una base para el consenso: los antropólogos siguieron senderos divergentes. El enfoque de </w:t>
      </w:r>
      <w:proofErr w:type="spellStart"/>
      <w:r w:rsidRPr="00711C64">
        <w:rPr>
          <w:rFonts w:ascii="Garamond" w:hAnsi="Garamond"/>
          <w:sz w:val="22"/>
          <w:szCs w:val="22"/>
        </w:rPr>
        <w:t>Tylor</w:t>
      </w:r>
      <w:proofErr w:type="spellEnd"/>
      <w:r w:rsidRPr="00711C64">
        <w:rPr>
          <w:rFonts w:ascii="Garamond" w:hAnsi="Garamond"/>
          <w:sz w:val="22"/>
          <w:szCs w:val="22"/>
        </w:rPr>
        <w:t xml:space="preserve"> consistió en combinar la idea romántica de Herder de que las naciones, los grupos al interior de las naciones y las personas en diferentes períodos tienen culturas distintivas, con una clara idea de que cada una de dichas culturas se encontraba en un estadio diferente en la evolución de la civilización o en una progresión hacia la racionalidad europea. Boas rechazó el evolucionismo social de </w:t>
      </w:r>
      <w:proofErr w:type="spellStart"/>
      <w:r w:rsidRPr="00711C64">
        <w:rPr>
          <w:rFonts w:ascii="Garamond" w:hAnsi="Garamond"/>
          <w:sz w:val="22"/>
          <w:szCs w:val="22"/>
        </w:rPr>
        <w:t>Tylor</w:t>
      </w:r>
      <w:proofErr w:type="spellEnd"/>
      <w:r w:rsidRPr="00711C64">
        <w:rPr>
          <w:rFonts w:ascii="Garamond" w:hAnsi="Garamond"/>
          <w:sz w:val="22"/>
          <w:szCs w:val="22"/>
        </w:rPr>
        <w:t>. Puso el acento en la particularidad de cada cultura como resultado de las respuestas del grupo a condiciones medioambientales y de su desarrollo histórico específico. Al tratar a la “cultura” como el producto de fuerzas históricas y sociales, y no biológicas, criticó el determinismo racial (</w:t>
      </w:r>
      <w:proofErr w:type="spellStart"/>
      <w:r w:rsidRPr="00711C64">
        <w:rPr>
          <w:rFonts w:ascii="Garamond" w:hAnsi="Garamond"/>
          <w:sz w:val="22"/>
          <w:szCs w:val="22"/>
        </w:rPr>
        <w:t>Stocking</w:t>
      </w:r>
      <w:proofErr w:type="spellEnd"/>
      <w:r w:rsidRPr="00711C64">
        <w:rPr>
          <w:rFonts w:ascii="Garamond" w:hAnsi="Garamond"/>
          <w:sz w:val="22"/>
          <w:szCs w:val="22"/>
        </w:rPr>
        <w:t xml:space="preserve"> 1974: 221). En Gran Bretaña, </w:t>
      </w:r>
      <w:proofErr w:type="spellStart"/>
      <w:r w:rsidRPr="00711C64">
        <w:rPr>
          <w:rFonts w:ascii="Garamond" w:hAnsi="Garamond"/>
          <w:sz w:val="22"/>
          <w:szCs w:val="22"/>
        </w:rPr>
        <w:t>Malinowski</w:t>
      </w:r>
      <w:proofErr w:type="spellEnd"/>
      <w:r w:rsidRPr="00711C64">
        <w:rPr>
          <w:rFonts w:ascii="Garamond" w:hAnsi="Garamond"/>
          <w:sz w:val="22"/>
          <w:szCs w:val="22"/>
        </w:rPr>
        <w:t xml:space="preserve"> y sus estudiantes promovieron una crítica diferente de la concepción racionalista victoriana de “hombre” a través de argumentar que lejos de ser “salvajes” e ilógicos, cada uno de los pueblos de África, Asia del Sur y el Pacífico tenían un estilo de vida distintivo, racional y legítimo que debía ser valorado: “enfatizar la autenticidad y la coherencia de las distintas culturas era una manera de resistir la misión civilizatoria fundamental al proyecto colonial europeo” (</w:t>
      </w:r>
      <w:proofErr w:type="spellStart"/>
      <w:r w:rsidRPr="00711C64">
        <w:rPr>
          <w:rFonts w:ascii="Garamond" w:hAnsi="Garamond"/>
          <w:sz w:val="22"/>
          <w:szCs w:val="22"/>
        </w:rPr>
        <w:t>Merry</w:t>
      </w:r>
      <w:proofErr w:type="spellEnd"/>
      <w:r w:rsidRPr="00711C64">
        <w:rPr>
          <w:rFonts w:ascii="Garamond" w:hAnsi="Garamond"/>
          <w:sz w:val="22"/>
          <w:szCs w:val="22"/>
        </w:rPr>
        <w:t xml:space="preserve"> 1997). Los antropólogos diferían profundamente en sus teorías y en los aspectos que cuestionaban del pensamiento occidental, pero compartían una idea del mundo como formado por “pueblos”, cada uno con un estilo de vida coherente, o “cultura”.</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Para 1970, lejos de ser radical, esta idea de que un “pueblo” tenía una “cultura” fue vista como un elemento crucial del colonialismo. Para los críticos, esta idea de “cultura” creaba entidades fijas en las que Occidente pudiera intervenir. Mediante la medición, categorización, descripción, representación y consecuente supuesto “conocimiento” de los otros, los objetos de dicho conocimiento eran transformados en los sujetos de nuevas formas de poder y control (Asad 1973, Said </w:t>
      </w:r>
      <w:r w:rsidRPr="00711C64">
        <w:rPr>
          <w:rFonts w:ascii="Garamond" w:hAnsi="Garamond"/>
          <w:sz w:val="22"/>
          <w:szCs w:val="22"/>
        </w:rPr>
        <w:lastRenderedPageBreak/>
        <w:t>1978). Esta idea otrora progresista también fue tomada en forma regresiva (en sentido contrario) por nacionalistas extremos que la usaron no sólo para defender sus reclamos de independencia y soberanía, sino también para profundizar las políticas de xenofobia, exclusión y limpieza étnica.</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En el marco de una enorme crítica, los componentes de esta idea de cultura fueron desarmados. Los funcionalistas británicos, por ejemplo, fueron criticados por haber tratado (una) “cultura” en pequeña escala, como una entidad definida organizada a través de las instituciones económicas, sociales y políticas que interactuaban como un “todo” auto-contenido basado en un equilibrio estático. Esto claramente había sido una ficción, dado que la mayoría de los lugares estudiados, por remotos que fueran, estaban siendo visitados no sólo por antropólogos sino también por mercaderes, misioneros y administradores de la colonia. Las sociedades no eran ni inmutables ni delimitadas, sino parte de un orden mundial dominado primero por el colonialismo y más tarde por las naciones estado, el capitalismo internacional y las agencias internacionales. Estos elementos habían sido dejados afuera de una imagen de las “culturas” como entidades a-históricas y auto-contenidas (</w:t>
      </w:r>
      <w:proofErr w:type="spellStart"/>
      <w:r w:rsidRPr="00711C64">
        <w:rPr>
          <w:rFonts w:ascii="Garamond" w:hAnsi="Garamond"/>
          <w:sz w:val="22"/>
          <w:szCs w:val="22"/>
        </w:rPr>
        <w:t>Gough</w:t>
      </w:r>
      <w:proofErr w:type="spellEnd"/>
      <w:r w:rsidRPr="00711C64">
        <w:rPr>
          <w:rFonts w:ascii="Garamond" w:hAnsi="Garamond"/>
          <w:sz w:val="22"/>
          <w:szCs w:val="22"/>
        </w:rPr>
        <w:t xml:space="preserve"> 1968).</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Antropólogos de variadas creencias fueron también criticados por tratar a la “cultura” como si fuera un conjunto de ideas o significados compartidos por toda una población de individuos homogéneos –empíricamente, no era ese el caso.</w:t>
      </w:r>
      <w:r w:rsidRPr="00711C64">
        <w:footnoteReference w:id="3"/>
      </w:r>
      <w:r w:rsidRPr="00711C64">
        <w:rPr>
          <w:rFonts w:ascii="Garamond" w:hAnsi="Garamond"/>
          <w:sz w:val="22"/>
          <w:szCs w:val="22"/>
        </w:rPr>
        <w:t xml:space="preserve"> Asad (1979) criticó a los antropólogos británicos por buscar la “cultura auténtica” única de otra sociedad en la forma de un sistema integrado de “significados esenciales” auténticos que se auto-reproducían sin importar el cambio económico y político. Si los antropólogos construían el orden social a partir de “significados esenciales” que no cambiaban en nuevas condiciones históricas y económicas, ¿cómo podía ocurrir la transformación social? En cambio, argumentó, los “significados esenciales” eran discursos que algunas personas tenían autoridad de hacerlos autoritarios a través de vaciar continuamente el espacio de discursos radicalmente opuestos. El problema que según Asad los antropólogos debían analizar es cómo un discurso autorizado es producido en circunstancias históricas particulares. En un </w:t>
      </w:r>
      <w:r w:rsidRPr="00350EF1">
        <w:rPr>
          <w:rFonts w:ascii="Garamond" w:hAnsi="Garamond"/>
          <w:sz w:val="22"/>
          <w:szCs w:val="22"/>
        </w:rPr>
        <w:t xml:space="preserve">artículo </w:t>
      </w:r>
      <w:r w:rsidRPr="00711C64">
        <w:rPr>
          <w:rFonts w:ascii="Garamond" w:hAnsi="Garamond"/>
          <w:sz w:val="22"/>
          <w:szCs w:val="22"/>
        </w:rPr>
        <w:t xml:space="preserve">que yo tomo como punto de partida para el desarrollo de lo que llamo “nuevos” acercamientos a la cultura, Asad argumentaba que los antropólogos habían definido equivocadamente, como “cultura auténtica”, </w:t>
      </w:r>
      <w:r w:rsidRPr="00711C64">
        <w:rPr>
          <w:rFonts w:ascii="Garamond" w:hAnsi="Garamond"/>
          <w:sz w:val="22"/>
          <w:szCs w:val="22"/>
        </w:rPr>
        <w:lastRenderedPageBreak/>
        <w:t>ideologías dominantes históricamente específicas o discursos autorizados que no eran atemporales ni uniformemente compartidos.</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Si bien los antropólogos han desarrollado nuevas maneras de pensar acerca de la “cultura”, estas “viejas ideas” se han filtrado del discurso académico y, como demostraremos más adelante, aún se utilizan ampliamente en el lenguaje público. Las principales características de esta “vieja idea de cultura” aún en curso son:</w:t>
      </w:r>
    </w:p>
    <w:p w:rsidR="008C1ECB" w:rsidRPr="00350EF1"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350EF1">
        <w:rPr>
          <w:rFonts w:ascii="Garamond" w:hAnsi="Garamond"/>
          <w:b/>
          <w:bCs/>
          <w:sz w:val="22"/>
          <w:szCs w:val="22"/>
          <w:lang w:val="es-ES_tradnl"/>
        </w:rPr>
        <w:t>entidad definida de pequeña escala</w:t>
      </w:r>
    </w:p>
    <w:p w:rsidR="008C1ECB" w:rsidRPr="00CD5612" w:rsidRDefault="008C1ECB" w:rsidP="008C1ECB">
      <w:pPr>
        <w:numPr>
          <w:ilvl w:val="0"/>
          <w:numId w:val="1"/>
        </w:numPr>
        <w:spacing w:before="120" w:after="120"/>
        <w:ind w:left="567" w:right="567" w:firstLine="709"/>
        <w:jc w:val="both"/>
        <w:rPr>
          <w:rFonts w:ascii="Garamond" w:hAnsi="Garamond"/>
          <w:b/>
          <w:bCs/>
          <w:sz w:val="22"/>
          <w:szCs w:val="22"/>
          <w:lang w:val="pt-BR"/>
        </w:rPr>
      </w:pPr>
      <w:r w:rsidRPr="00CD5612">
        <w:rPr>
          <w:rFonts w:ascii="Garamond" w:hAnsi="Garamond"/>
          <w:b/>
          <w:bCs/>
          <w:sz w:val="22"/>
          <w:szCs w:val="22"/>
          <w:lang w:val="pt-BR"/>
        </w:rPr>
        <w:t>características definidas (lista de rasgos o atributos)</w:t>
      </w:r>
    </w:p>
    <w:p w:rsidR="008C1ECB" w:rsidRPr="00350EF1"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350EF1">
        <w:rPr>
          <w:rFonts w:ascii="Garamond" w:hAnsi="Garamond"/>
          <w:b/>
          <w:bCs/>
          <w:sz w:val="22"/>
          <w:szCs w:val="22"/>
          <w:lang w:val="es-ES_tradnl"/>
        </w:rPr>
        <w:t>inamovible, en equilibrio balanceado o auto-reproducido</w:t>
      </w:r>
    </w:p>
    <w:p w:rsidR="008C1ECB" w:rsidRPr="00350EF1"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350EF1">
        <w:rPr>
          <w:rFonts w:ascii="Garamond" w:hAnsi="Garamond"/>
          <w:b/>
          <w:bCs/>
          <w:sz w:val="22"/>
          <w:szCs w:val="22"/>
          <w:lang w:val="es-ES_tradnl"/>
        </w:rPr>
        <w:t>sistema subyacente de significados compartidos: “cultura auténtica”</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350EF1">
        <w:rPr>
          <w:lang w:val="es-ES_tradnl"/>
        </w:rPr>
        <w:t>individuos homogéneos, idénticos.</w:t>
      </w:r>
    </w:p>
    <w:p w:rsidR="008C1ECB" w:rsidRPr="0085671A" w:rsidRDefault="008C1ECB" w:rsidP="008C1ECB">
      <w:pPr>
        <w:spacing w:before="120" w:after="120"/>
        <w:ind w:left="567" w:right="567"/>
        <w:jc w:val="both"/>
        <w:rPr>
          <w:rFonts w:ascii="Garamond" w:hAnsi="Garamond"/>
          <w:b/>
          <w:bCs/>
          <w:sz w:val="22"/>
          <w:szCs w:val="22"/>
          <w:lang w:val="es-ES_tradnl"/>
        </w:rPr>
      </w:pPr>
    </w:p>
    <w:p w:rsidR="008C1ECB" w:rsidRPr="00711C64" w:rsidRDefault="008C1ECB" w:rsidP="008C1ECB">
      <w:pPr>
        <w:spacing w:before="120" w:after="120"/>
        <w:ind w:left="567" w:right="567"/>
        <w:jc w:val="center"/>
        <w:rPr>
          <w:rFonts w:ascii="Garamond" w:hAnsi="Garamond"/>
          <w:b/>
          <w:bCs/>
          <w:sz w:val="22"/>
          <w:szCs w:val="22"/>
          <w:lang w:val="es-ES_tradnl"/>
        </w:rPr>
      </w:pPr>
      <w:r w:rsidRPr="00711C64">
        <w:rPr>
          <w:rFonts w:ascii="Garamond" w:hAnsi="Garamond"/>
          <w:b/>
          <w:sz w:val="22"/>
          <w:szCs w:val="22"/>
          <w:u w:val="single"/>
        </w:rPr>
        <w:t>Nuevos significados de cultura</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Las condiciones políticas y económicas cambiantes a las que Asad se refería eran el fin del colonialismo europeo y la expansión continuada hacia nuevas áreas de relaciones de producción e intercambio basadas en el capital. Más recientemente, éstas incluirían la organización internacional de la producción y el consumo, la difusión de las redes de comunicación globales, y la integración internacional de los sistemas financieros. </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 Tal como los antropólogos han argumentado por muchos años (Cohen 1974, </w:t>
      </w:r>
      <w:proofErr w:type="spellStart"/>
      <w:r w:rsidRPr="00711C64">
        <w:rPr>
          <w:rFonts w:ascii="Garamond" w:hAnsi="Garamond"/>
          <w:sz w:val="22"/>
          <w:szCs w:val="22"/>
        </w:rPr>
        <w:t>Macdonald</w:t>
      </w:r>
      <w:proofErr w:type="spellEnd"/>
      <w:r w:rsidRPr="00711C64">
        <w:rPr>
          <w:rFonts w:ascii="Garamond" w:hAnsi="Garamond"/>
          <w:sz w:val="22"/>
          <w:szCs w:val="22"/>
        </w:rPr>
        <w:t xml:space="preserve"> 1993), y más recientemente Hall y otros exponentes (</w:t>
      </w:r>
      <w:proofErr w:type="spellStart"/>
      <w:r w:rsidRPr="00711C64">
        <w:rPr>
          <w:rFonts w:ascii="Garamond" w:hAnsi="Garamond"/>
          <w:sz w:val="22"/>
          <w:szCs w:val="22"/>
        </w:rPr>
        <w:t>Morley</w:t>
      </w:r>
      <w:proofErr w:type="spellEnd"/>
      <w:r w:rsidRPr="00711C64">
        <w:rPr>
          <w:rFonts w:ascii="Garamond" w:hAnsi="Garamond"/>
          <w:sz w:val="22"/>
          <w:szCs w:val="22"/>
        </w:rPr>
        <w:t xml:space="preserve"> y </w:t>
      </w:r>
      <w:proofErr w:type="spellStart"/>
      <w:r w:rsidRPr="00711C64">
        <w:rPr>
          <w:rFonts w:ascii="Garamond" w:hAnsi="Garamond"/>
          <w:sz w:val="22"/>
          <w:szCs w:val="22"/>
        </w:rPr>
        <w:t>Chen</w:t>
      </w:r>
      <w:proofErr w:type="spellEnd"/>
      <w:r w:rsidRPr="00711C64">
        <w:rPr>
          <w:rFonts w:ascii="Garamond" w:hAnsi="Garamond"/>
          <w:sz w:val="22"/>
          <w:szCs w:val="22"/>
        </w:rPr>
        <w:t xml:space="preserve"> 1996) de los estudios culturales en Gran Bretaña lo han dejado en claro, las identidades culturales no son inherentes, definidas o estáticas: son dinámicas, fluidas, y construidas situacionalmente, en lugares y tiempos particulares. (…) Los desarrollos teóricos de los estudios culturales, y de la antropología post-estructural y feminista, nos han llevado a comprender que las “culturas” no son, ni fueron nunca, entidades naturalmente definidas. </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La fractura del concepto central de la antropología social nos ha llevado a mirar nuevamente al colonialismo. </w:t>
      </w:r>
      <w:proofErr w:type="spellStart"/>
      <w:r w:rsidRPr="00711C64">
        <w:rPr>
          <w:rFonts w:ascii="Garamond" w:hAnsi="Garamond"/>
          <w:sz w:val="22"/>
          <w:szCs w:val="22"/>
        </w:rPr>
        <w:t>Ortner</w:t>
      </w:r>
      <w:proofErr w:type="spellEnd"/>
      <w:r w:rsidRPr="00711C64">
        <w:rPr>
          <w:rFonts w:ascii="Garamond" w:hAnsi="Garamond"/>
          <w:sz w:val="22"/>
          <w:szCs w:val="22"/>
        </w:rPr>
        <w:t xml:space="preserve"> (1984) cuestionó la imagen original del poder colonial y “la fuerza destructora del capitalismo” haciendo impacto sobre, e insertándose en, una “cultura local” indígena. Ella y otros han sido críticos de la manera en que tanto el colonialismo como la “cultura local” aparecen como entidades unitarias en esta imagen (Asad 1993: 5). ¿Qué mejor elección de un espacio en el cual desafiar esta imagen que el tipo de locación en la que el viejo concepto de “cultura” fue fundado: una isla remota a mitad de camino en el cruce del Océano Pacífico? </w:t>
      </w:r>
    </w:p>
    <w:p w:rsidR="008C1ECB" w:rsidRPr="00711C64" w:rsidRDefault="008C1ECB" w:rsidP="008C1ECB">
      <w:pPr>
        <w:spacing w:before="120" w:after="120" w:line="360" w:lineRule="auto"/>
        <w:ind w:right="99" w:firstLine="900"/>
        <w:jc w:val="both"/>
        <w:rPr>
          <w:rFonts w:ascii="Garamond" w:hAnsi="Garamond"/>
          <w:sz w:val="22"/>
          <w:szCs w:val="22"/>
        </w:rPr>
      </w:pPr>
      <w:proofErr w:type="spellStart"/>
      <w:r w:rsidRPr="00711C64">
        <w:rPr>
          <w:rFonts w:ascii="Garamond" w:hAnsi="Garamond"/>
          <w:sz w:val="22"/>
          <w:szCs w:val="22"/>
        </w:rPr>
        <w:lastRenderedPageBreak/>
        <w:t>Merry</w:t>
      </w:r>
      <w:proofErr w:type="spellEnd"/>
      <w:r w:rsidRPr="00711C64">
        <w:rPr>
          <w:rFonts w:ascii="Garamond" w:hAnsi="Garamond"/>
          <w:sz w:val="22"/>
          <w:szCs w:val="22"/>
        </w:rPr>
        <w:t xml:space="preserve"> (1997) estudió el </w:t>
      </w:r>
      <w:proofErr w:type="spellStart"/>
      <w:r w:rsidRPr="00711C64">
        <w:rPr>
          <w:rFonts w:ascii="Garamond" w:hAnsi="Garamond"/>
          <w:sz w:val="22"/>
          <w:szCs w:val="22"/>
        </w:rPr>
        <w:t>Hawaii</w:t>
      </w:r>
      <w:proofErr w:type="spellEnd"/>
      <w:r w:rsidRPr="00711C64">
        <w:rPr>
          <w:rFonts w:ascii="Garamond" w:hAnsi="Garamond"/>
          <w:sz w:val="22"/>
          <w:szCs w:val="22"/>
        </w:rPr>
        <w:t xml:space="preserve"> de los siglos XIX y XVIII, y encontró que un impresionante surtido de gente desde Noruega a China estaba presente en lo que ella denomina no una “comunidad local” sino una “zona de contacto”. En un espacio no delimitado, esta mezcla de personas recurría a las prácticas de sus diversos lugares de origen, a la luz de sus intereses del momento, para decidir cómo organizar el trabajo, el comercio y las relaciones sociales. Las disputas tuvieron lugar entre personas en relaciones asimétricas de poder, respecto de sus múltiples y contradictorias lógicas culturales. Cada actor procuraba maniobrar, en situaciones políticas y económicas impredecibles, para definir o asegurarse el control de símbolos y prácticas. Los símbolos y las ideas nunca adquirían un conjunto de significados cerrado o íntegramente coherente: eran polivalentes, fluidos e híbridos. Los términos clave cambiaban su significado en diferentes momentos históricos. Cuando una coalición de actores ganaba ascendencia en un momento histórico particular, institucionalizaba su significado de los términos clave como ley.</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El de </w:t>
      </w:r>
      <w:proofErr w:type="spellStart"/>
      <w:r w:rsidRPr="00711C64">
        <w:rPr>
          <w:rFonts w:ascii="Garamond" w:hAnsi="Garamond"/>
          <w:sz w:val="22"/>
          <w:szCs w:val="22"/>
        </w:rPr>
        <w:t>Merry</w:t>
      </w:r>
      <w:proofErr w:type="spellEnd"/>
      <w:r w:rsidRPr="00711C64">
        <w:rPr>
          <w:rFonts w:ascii="Garamond" w:hAnsi="Garamond"/>
          <w:sz w:val="22"/>
          <w:szCs w:val="22"/>
        </w:rPr>
        <w:t xml:space="preserve"> es un buen ejemplo de la nueva idea de cultura como un proceso conflictivo de construcción de significado. El conflicto se da en torno del significado de términos y conceptos clave. ¿Cómo son construidos y disputados estos conceptos por parte de actores diferencialmente posicionados quienes apelan a vínculos locales, nacionales y globales dentro de relaciones de poder desiguales? ¿De </w:t>
      </w:r>
      <w:proofErr w:type="spellStart"/>
      <w:r w:rsidRPr="00711C64">
        <w:rPr>
          <w:rFonts w:ascii="Garamond" w:hAnsi="Garamond"/>
          <w:sz w:val="22"/>
          <w:szCs w:val="22"/>
        </w:rPr>
        <w:t>que</w:t>
      </w:r>
      <w:proofErr w:type="spellEnd"/>
      <w:r w:rsidRPr="00711C64">
        <w:rPr>
          <w:rFonts w:ascii="Garamond" w:hAnsi="Garamond"/>
          <w:sz w:val="22"/>
          <w:szCs w:val="22"/>
        </w:rPr>
        <w:t xml:space="preserve"> forma la disputa está enmarcada por prácticas y reglas implícitas –o los actores las desafían, fuerzan o reinterpretan también como parte de la disputa? En un flujo de acontecimientos, ¿quién tiene el poder para definir? ¿Cómo evitan que otras maneras de pensar respecto de estos conceptos sean escuchadas? ¿Cómo se las arreglan para hacer que sus significados resistan, y cómo utilizan las instituciones para tornarlos autorizados? ¿Con qué resultados materiales?</w:t>
      </w:r>
    </w:p>
    <w:p w:rsidR="008C1ECB" w:rsidRPr="00711C64" w:rsidRDefault="008C1ECB" w:rsidP="008C1ECB">
      <w:pPr>
        <w:spacing w:before="120" w:after="120" w:line="360" w:lineRule="auto"/>
        <w:ind w:right="99" w:firstLine="900"/>
        <w:jc w:val="both"/>
        <w:rPr>
          <w:rFonts w:ascii="Garamond" w:hAnsi="Garamond"/>
          <w:sz w:val="22"/>
          <w:szCs w:val="22"/>
        </w:rPr>
      </w:pPr>
      <w:proofErr w:type="spellStart"/>
      <w:r w:rsidRPr="00711C64">
        <w:rPr>
          <w:rFonts w:ascii="Garamond" w:hAnsi="Garamond"/>
          <w:sz w:val="22"/>
          <w:szCs w:val="22"/>
        </w:rPr>
        <w:t>Sue</w:t>
      </w:r>
      <w:proofErr w:type="spellEnd"/>
      <w:r w:rsidRPr="00711C64">
        <w:rPr>
          <w:rFonts w:ascii="Garamond" w:hAnsi="Garamond"/>
          <w:sz w:val="22"/>
          <w:szCs w:val="22"/>
        </w:rPr>
        <w:t xml:space="preserve"> </w:t>
      </w:r>
      <w:proofErr w:type="spellStart"/>
      <w:r w:rsidRPr="00711C64">
        <w:rPr>
          <w:rFonts w:ascii="Garamond" w:hAnsi="Garamond"/>
          <w:sz w:val="22"/>
          <w:szCs w:val="22"/>
        </w:rPr>
        <w:t>Reinhold</w:t>
      </w:r>
      <w:proofErr w:type="spellEnd"/>
      <w:r w:rsidRPr="00711C64">
        <w:rPr>
          <w:rFonts w:ascii="Garamond" w:hAnsi="Garamond"/>
          <w:sz w:val="22"/>
          <w:szCs w:val="22"/>
        </w:rPr>
        <w:t xml:space="preserve"> (1993) plantea estas preguntas a fin de revelar en detalle el proceso de lucha ideológica en </w:t>
      </w:r>
      <w:smartTag w:uri="urn:schemas-microsoft-com:office:smarttags" w:element="PersonName">
        <w:smartTagPr>
          <w:attr w:name="ProductID" w:val="la Gran Breta￱a"/>
        </w:smartTagPr>
        <w:r w:rsidRPr="00711C64">
          <w:rPr>
            <w:rFonts w:ascii="Garamond" w:hAnsi="Garamond"/>
            <w:sz w:val="22"/>
            <w:szCs w:val="22"/>
          </w:rPr>
          <w:t>la Gran Bretaña</w:t>
        </w:r>
      </w:smartTag>
      <w:r w:rsidRPr="00711C64">
        <w:rPr>
          <w:rFonts w:ascii="Garamond" w:hAnsi="Garamond"/>
          <w:sz w:val="22"/>
          <w:szCs w:val="22"/>
        </w:rPr>
        <w:t xml:space="preserve"> de los ‘80. Se disputaba el poder para definir la actitud del estado respecto de la homosexualidad en Gran Bretaña y tornar esa definición en autorizada mediante la legislación. En el contexto de una atmósfera de homofobia, un grupo en </w:t>
      </w:r>
      <w:proofErr w:type="spellStart"/>
      <w:r w:rsidRPr="00711C64">
        <w:rPr>
          <w:rFonts w:ascii="Garamond" w:hAnsi="Garamond"/>
          <w:sz w:val="22"/>
          <w:szCs w:val="22"/>
        </w:rPr>
        <w:t>Haringey</w:t>
      </w:r>
      <w:proofErr w:type="spellEnd"/>
      <w:r w:rsidRPr="00711C64">
        <w:rPr>
          <w:rFonts w:ascii="Garamond" w:hAnsi="Garamond"/>
          <w:sz w:val="22"/>
          <w:szCs w:val="22"/>
        </w:rPr>
        <w:t xml:space="preserve"> hizo campaña para contrarrestar los estereotipos negativos de personas gay disponibles para los chicos en las escuelas. Sus oponentes locales utilizaron sus conexiones con los miembros conservadores del Parlamento, quienes se apropiaron del significado de los términos clave del debate, invirtiéndolo. El término “promover” fue en principio usado en la campaña para “promover imágenes positivas” de la homosexualidad; los miembros del Parlamento los acusaron a su vez de “promover la homosexualidad”. En sucesivos debates parlamentarios, “promover” se hizo entender como seducir a chicos “normales”, lo cual se equiparó a su vez con un ataque a “la familia”, la base del orden en el Estado, y por ende con la “subversión”. El grupo de miembros del Parlamento tuvo éxito e insertó una nueva cláusula a la legislación en curso por la cual el gobierno local puede declarar ilegales las acciones o el uso de </w:t>
      </w:r>
      <w:r w:rsidRPr="00711C64">
        <w:rPr>
          <w:rFonts w:ascii="Garamond" w:hAnsi="Garamond"/>
          <w:sz w:val="22"/>
          <w:szCs w:val="22"/>
        </w:rPr>
        <w:lastRenderedPageBreak/>
        <w:t xml:space="preserve">recursos que “promovieran” la aceptación de la homosexualidad como una “supuesta relación familiar”. Este nuevo significado del término “promover”, y sus términos asociados, autorizados mediante la legislación estatal, tuvieron efectos materiales: los estereotipos negativos fueron apoyados, y las autoridades locales se volvieron reticentes respecto de hacer gastos en servicios o cuestiones para personas gay que pudieran ser interpretados como fuera de la ley en un caso testigo. </w:t>
      </w:r>
      <w:proofErr w:type="spellStart"/>
      <w:r w:rsidRPr="00711C64">
        <w:rPr>
          <w:rFonts w:ascii="Garamond" w:hAnsi="Garamond"/>
          <w:sz w:val="22"/>
          <w:szCs w:val="22"/>
        </w:rPr>
        <w:t>Reinhold</w:t>
      </w:r>
      <w:proofErr w:type="spellEnd"/>
      <w:r w:rsidRPr="00711C64">
        <w:rPr>
          <w:rFonts w:ascii="Garamond" w:hAnsi="Garamond"/>
          <w:sz w:val="22"/>
          <w:szCs w:val="22"/>
        </w:rPr>
        <w:t xml:space="preserve"> (1993) señala similitudes entre la disputa por imágenes positivas y otras campañas en contra de las minorías durante el gobierno de Thatcher. Los conservadores de derecha usaron la autoridad del parlamento para proyectar significados negativos de términos y símbolos clave relativos a las minorías étnicas, mineros y otras categorías a las que marginaron, excluidas de su noción dominante de “</w:t>
      </w:r>
      <w:proofErr w:type="spellStart"/>
      <w:r w:rsidRPr="00711C64">
        <w:rPr>
          <w:rFonts w:ascii="Garamond" w:hAnsi="Garamond"/>
          <w:sz w:val="22"/>
          <w:szCs w:val="22"/>
        </w:rPr>
        <w:t>britanidad</w:t>
      </w:r>
      <w:proofErr w:type="spellEnd"/>
      <w:r w:rsidRPr="00711C64">
        <w:rPr>
          <w:rFonts w:ascii="Garamond" w:hAnsi="Garamond"/>
          <w:sz w:val="22"/>
          <w:szCs w:val="22"/>
        </w:rPr>
        <w:t>”, demonizadas como una amenaza para el orden, y subversivas para el estado.</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En los ejemplos arriba mencionados pueden identificarse tres momentos en estos procesos de disputa por la construcción de significado. El primero corresponde a intentos desembozados por parte de agentes identificados por redefinir símbolos clave que dan una particular visión del mundo, de cómo la gente debiera ser y comportarse, y de qué debiera verse como la “realidad” de su sociedad e historia: en pocas palabras, una ideología. Un segundo momento es cuando dicha visión del mundo se institucionaliza y trabaja mediante un poder que ya no requiere agentes. Las prácticas institucionales moldean percepciones, categorías, valores y comportamiento. Un tercer momento es cuando un término clave que implica una nueva manera de pensar acerca de un aspecto de la vida entra en otros dominios (fuera de las actividades del estado) y se torna una manera de pensar difusa y prevaleciente en la vida cotidiana. </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En su forma más segura, una ideología aparece como hegemónica. Esto es, se torna tan naturalizada, dada por hecho y “verdadera” que las alternativas están fuera de los límites de lo imaginable. Tal como lo sugieren </w:t>
      </w:r>
      <w:proofErr w:type="spellStart"/>
      <w:r w:rsidRPr="00711C64">
        <w:rPr>
          <w:rFonts w:ascii="Garamond" w:hAnsi="Garamond"/>
          <w:sz w:val="22"/>
          <w:szCs w:val="22"/>
        </w:rPr>
        <w:t>Comaroff</w:t>
      </w:r>
      <w:proofErr w:type="spellEnd"/>
      <w:r w:rsidRPr="00711C64">
        <w:rPr>
          <w:rFonts w:ascii="Garamond" w:hAnsi="Garamond"/>
          <w:sz w:val="22"/>
          <w:szCs w:val="22"/>
        </w:rPr>
        <w:t xml:space="preserve"> y </w:t>
      </w:r>
      <w:proofErr w:type="spellStart"/>
      <w:r w:rsidRPr="00711C64">
        <w:rPr>
          <w:rFonts w:ascii="Garamond" w:hAnsi="Garamond"/>
          <w:sz w:val="22"/>
          <w:szCs w:val="22"/>
        </w:rPr>
        <w:t>Comaroff</w:t>
      </w:r>
      <w:proofErr w:type="spellEnd"/>
      <w:r w:rsidRPr="00711C64">
        <w:rPr>
          <w:rFonts w:ascii="Garamond" w:hAnsi="Garamond"/>
          <w:sz w:val="22"/>
          <w:szCs w:val="22"/>
        </w:rPr>
        <w:t xml:space="preserve"> (1992), en su dimensión hegemónica, la cultura aparece como coherente, sistemática y consensuada. Procura aparecer como un objeto, una cosa más allá de la acción humana, no ideológica en lo más mínimo: en pocas palabras, como la vieja idea de cultura auténtica. Tal como lo mencionamos más arriba, los mismos antropólogos previamente habían confundido a las ideologías hegemónicas con la auténtica cultura, y en el proceso, apoyaron a aquellos miembros de la comunidad con el poder ascendiente para definir las características de su “cultura” y proyectarla como atemporal y objetiva.</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 xml:space="preserve">Ninguna ideología, por más hegemónica que sea e imbricada en las instituciones y la vida cotidiana que esté, se encuentra fuera de disputa; el de “cultura” es un concepto dinámico, siempre negociable y en proceso de aprobación, discusión y transformación. Actores diferencialmente posicionados, con inventivas impredecibles, apelan a, </w:t>
      </w:r>
      <w:proofErr w:type="spellStart"/>
      <w:r w:rsidRPr="00711C64">
        <w:rPr>
          <w:rFonts w:ascii="Garamond" w:hAnsi="Garamond"/>
          <w:sz w:val="22"/>
          <w:szCs w:val="22"/>
        </w:rPr>
        <w:t>retrabajan</w:t>
      </w:r>
      <w:proofErr w:type="spellEnd"/>
      <w:r w:rsidRPr="00711C64">
        <w:rPr>
          <w:rFonts w:ascii="Garamond" w:hAnsi="Garamond"/>
          <w:sz w:val="22"/>
          <w:szCs w:val="22"/>
        </w:rPr>
        <w:t xml:space="preserve"> y fuerzan en nuevas direcciones los significados acumulados de “cultura” –incluyendo los viejos y nuevos significados académicos. En un </w:t>
      </w:r>
      <w:r w:rsidRPr="00711C64">
        <w:rPr>
          <w:rFonts w:ascii="Garamond" w:hAnsi="Garamond"/>
          <w:sz w:val="22"/>
          <w:szCs w:val="22"/>
        </w:rPr>
        <w:lastRenderedPageBreak/>
        <w:t>proceso de reclamar poder y autoridad, todos están tratando de sostener diferentes definiciones, que tendrán diferentes resultados materiales. En suma, las características de las nuevas ideas de cultura son:</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85671A">
        <w:rPr>
          <w:rFonts w:ascii="Garamond" w:hAnsi="Garamond"/>
          <w:b/>
          <w:bCs/>
          <w:sz w:val="22"/>
          <w:szCs w:val="22"/>
          <w:lang w:val="es-ES_tradnl"/>
        </w:rPr>
        <w:t>“la cultura es un proceso activo de construcción de significado y de disputa sobre la definición, incluyendo la de sí misma” (Street 1993: 2)</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85671A">
        <w:rPr>
          <w:rFonts w:ascii="Garamond" w:hAnsi="Garamond"/>
          <w:b/>
          <w:bCs/>
          <w:sz w:val="22"/>
          <w:szCs w:val="22"/>
          <w:lang w:val="es-ES_tradnl"/>
        </w:rPr>
        <w:t>personas posicionadas en formas diferentes en relaciones sociales y procesos de dominación, usan los recursos económicos e institucionales que tienen disponibles para intentar hacer que su definición de una situación resista, para evitar que las definiciones de otros sean escuchadas, y para cosechar el resultado material</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85671A">
        <w:rPr>
          <w:rFonts w:ascii="Garamond" w:hAnsi="Garamond"/>
          <w:b/>
          <w:bCs/>
          <w:sz w:val="22"/>
          <w:szCs w:val="22"/>
          <w:lang w:val="es-ES_tradnl"/>
        </w:rPr>
        <w:t>los espacios no están restringidos –las personas apelan a conexiones locales, nacionales, globales</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85671A">
        <w:rPr>
          <w:rFonts w:ascii="Garamond" w:hAnsi="Garamond"/>
          <w:b/>
          <w:bCs/>
          <w:sz w:val="22"/>
          <w:szCs w:val="22"/>
          <w:lang w:val="es-ES_tradnl"/>
        </w:rPr>
        <w:t>la manera en que se forman conjuntos de conceptos es históricamente específica, y las ideas nunca constituyen un todo cerrado o coherente</w:t>
      </w:r>
    </w:p>
    <w:p w:rsidR="008C1ECB" w:rsidRPr="0085671A" w:rsidRDefault="008C1ECB" w:rsidP="008C1ECB">
      <w:pPr>
        <w:numPr>
          <w:ilvl w:val="0"/>
          <w:numId w:val="1"/>
        </w:numPr>
        <w:spacing w:before="120" w:after="120"/>
        <w:ind w:left="567" w:right="567" w:firstLine="709"/>
        <w:jc w:val="both"/>
        <w:rPr>
          <w:rFonts w:ascii="Garamond" w:hAnsi="Garamond"/>
          <w:b/>
          <w:bCs/>
          <w:sz w:val="22"/>
          <w:szCs w:val="22"/>
          <w:lang w:val="es-ES_tradnl"/>
        </w:rPr>
      </w:pPr>
      <w:r w:rsidRPr="0085671A">
        <w:rPr>
          <w:rFonts w:ascii="Garamond" w:hAnsi="Garamond"/>
          <w:b/>
          <w:bCs/>
          <w:sz w:val="22"/>
          <w:szCs w:val="22"/>
          <w:lang w:val="es-ES_tradnl"/>
        </w:rPr>
        <w:t>en su forma hegemónica, la cultura aparece como coherente, sistemática, consensual, como un objeto, más allá de la acción humana, no ideológico –como la vieja idea de cultura.</w:t>
      </w:r>
    </w:p>
    <w:p w:rsidR="008C1ECB" w:rsidRPr="00350EF1" w:rsidRDefault="008C1ECB" w:rsidP="008C1ECB">
      <w:pPr>
        <w:spacing w:before="120" w:after="120"/>
        <w:ind w:left="567" w:right="567" w:firstLine="709"/>
        <w:jc w:val="both"/>
        <w:rPr>
          <w:b/>
          <w:sz w:val="22"/>
          <w:szCs w:val="22"/>
          <w:u w:val="single"/>
          <w:lang w:val="es-ES_tradnl"/>
        </w:rPr>
      </w:pPr>
      <w:r w:rsidRPr="0085671A">
        <w:rPr>
          <w:rFonts w:ascii="Garamond" w:hAnsi="Garamond"/>
          <w:sz w:val="22"/>
          <w:szCs w:val="22"/>
          <w:lang w:val="es-ES_tradnl"/>
        </w:rPr>
        <w:t>(…)</w:t>
      </w:r>
    </w:p>
    <w:p w:rsidR="008C1ECB" w:rsidRPr="00350EF1" w:rsidRDefault="008C1ECB" w:rsidP="008C1ECB">
      <w:pPr>
        <w:spacing w:before="120" w:after="120"/>
        <w:ind w:left="567" w:right="567" w:firstLine="709"/>
        <w:jc w:val="center"/>
        <w:rPr>
          <w:rFonts w:ascii="Garamond" w:hAnsi="Garamond"/>
          <w:sz w:val="22"/>
          <w:szCs w:val="22"/>
          <w:u w:val="single"/>
        </w:rPr>
      </w:pPr>
      <w:r w:rsidRPr="00350EF1">
        <w:rPr>
          <w:b/>
          <w:sz w:val="22"/>
          <w:szCs w:val="22"/>
          <w:u w:val="single"/>
        </w:rPr>
        <w:t>Conclusión</w:t>
      </w:r>
    </w:p>
    <w:p w:rsidR="008C1ECB" w:rsidRPr="00711C64" w:rsidRDefault="008C1ECB" w:rsidP="008C1ECB">
      <w:pPr>
        <w:spacing w:before="120" w:after="120" w:line="360" w:lineRule="auto"/>
        <w:ind w:right="99" w:firstLine="900"/>
        <w:jc w:val="both"/>
        <w:rPr>
          <w:rFonts w:ascii="Garamond" w:hAnsi="Garamond"/>
          <w:sz w:val="22"/>
          <w:szCs w:val="22"/>
        </w:rPr>
      </w:pPr>
      <w:r w:rsidRPr="00711C64">
        <w:rPr>
          <w:rFonts w:ascii="Garamond" w:hAnsi="Garamond"/>
          <w:sz w:val="22"/>
          <w:szCs w:val="22"/>
        </w:rPr>
        <w:t>He distinguido dos conjuntos de ideas acerca de la cultura en la antropología: un conjunto de ideas más viejo, que equipara a “una cultura” con “un pueblo”, que puede ser delineado con un límite y una lista de rasgos característicos; y nuevos significados de “cultura”, no como una “cosa”, sino como un proceso político de lucha por el poder para definir conceptos clave, incluyendo el concepto mismo de “cultura”. Años atrás, los antropólogos usaban las viejas ideas de “cultura”, la construcción de una clasificación objetiva de las personas, como una estrategia para situarse aparentemente por fuera de la política. Ahora los antropólogos que adoptan las nuevas ideas de “cultura” están compelidos a reconocer que tales definiciones académicas implican una toma de posición y son políticas, y por ende un recurso que antropólogos y otros pueden usar para el establecimiento de procesos de dominación y marginación o el desafío a ellos.</w:t>
      </w:r>
    </w:p>
    <w:p w:rsidR="008C1ECB" w:rsidRPr="00CD5612" w:rsidRDefault="008C1ECB" w:rsidP="008C1ECB">
      <w:pPr>
        <w:jc w:val="both"/>
        <w:rPr>
          <w:rFonts w:ascii="Garamond" w:hAnsi="Garamond"/>
          <w:sz w:val="22"/>
          <w:szCs w:val="22"/>
          <w:u w:val="single"/>
          <w:lang w:val="es-ES"/>
        </w:rPr>
      </w:pPr>
    </w:p>
    <w:p w:rsidR="008C1ECB" w:rsidRPr="00711C64" w:rsidRDefault="008C1ECB" w:rsidP="008C1ECB">
      <w:pPr>
        <w:jc w:val="both"/>
        <w:rPr>
          <w:rFonts w:ascii="Garamond" w:hAnsi="Garamond"/>
          <w:sz w:val="22"/>
          <w:szCs w:val="22"/>
          <w:u w:val="single"/>
          <w:lang w:val="en-US"/>
        </w:rPr>
      </w:pPr>
      <w:proofErr w:type="spellStart"/>
      <w:r w:rsidRPr="00711C64">
        <w:rPr>
          <w:rFonts w:ascii="Garamond" w:hAnsi="Garamond"/>
          <w:sz w:val="22"/>
          <w:szCs w:val="22"/>
          <w:u w:val="single"/>
          <w:lang w:val="en-US"/>
        </w:rPr>
        <w:t>Bibliografía</w:t>
      </w:r>
      <w:proofErr w:type="spellEnd"/>
      <w:r w:rsidRPr="00711C64">
        <w:rPr>
          <w:rFonts w:ascii="Garamond" w:hAnsi="Garamond"/>
          <w:sz w:val="22"/>
          <w:szCs w:val="22"/>
          <w:u w:val="single"/>
          <w:lang w:val="en-US"/>
        </w:rPr>
        <w:t>:</w:t>
      </w:r>
    </w:p>
    <w:p w:rsidR="008C1ECB" w:rsidRPr="008C1ECB" w:rsidRDefault="008C1ECB" w:rsidP="008C1ECB">
      <w:pPr>
        <w:jc w:val="both"/>
        <w:rPr>
          <w:rFonts w:ascii="Garamond" w:hAnsi="Garamond"/>
          <w:sz w:val="22"/>
          <w:szCs w:val="22"/>
          <w:u w:val="single"/>
          <w:lang w:val="en-US"/>
        </w:rPr>
      </w:pPr>
      <w:proofErr w:type="spellStart"/>
      <w:r w:rsidRPr="00711C64">
        <w:rPr>
          <w:rFonts w:ascii="Garamond" w:hAnsi="Garamond"/>
          <w:sz w:val="22"/>
          <w:szCs w:val="22"/>
          <w:lang w:val="en-US"/>
        </w:rPr>
        <w:t>Asad</w:t>
      </w:r>
      <w:proofErr w:type="spellEnd"/>
      <w:r w:rsidRPr="00711C64">
        <w:rPr>
          <w:rFonts w:ascii="Garamond" w:hAnsi="Garamond"/>
          <w:sz w:val="22"/>
          <w:szCs w:val="22"/>
          <w:lang w:val="en-US"/>
        </w:rPr>
        <w:t xml:space="preserve">, </w:t>
      </w:r>
      <w:proofErr w:type="spellStart"/>
      <w:r w:rsidRPr="00711C64">
        <w:rPr>
          <w:rFonts w:ascii="Garamond" w:hAnsi="Garamond"/>
          <w:sz w:val="22"/>
          <w:szCs w:val="22"/>
          <w:lang w:val="en-US"/>
        </w:rPr>
        <w:t>Talal</w:t>
      </w:r>
      <w:proofErr w:type="spellEnd"/>
      <w:r w:rsidRPr="00711C64">
        <w:rPr>
          <w:rFonts w:ascii="Garamond" w:hAnsi="Garamond"/>
          <w:sz w:val="22"/>
          <w:szCs w:val="22"/>
          <w:lang w:val="en-US"/>
        </w:rPr>
        <w:t xml:space="preserve"> (ed.) 1973. </w:t>
      </w:r>
      <w:r w:rsidRPr="00711C64">
        <w:rPr>
          <w:rFonts w:ascii="Garamond" w:hAnsi="Garamond"/>
          <w:i/>
          <w:sz w:val="22"/>
          <w:szCs w:val="22"/>
          <w:lang w:val="en-GB"/>
        </w:rPr>
        <w:t>Anthropology and the Colonial Encounter</w:t>
      </w:r>
      <w:r w:rsidRPr="00711C64">
        <w:rPr>
          <w:rFonts w:ascii="Garamond" w:hAnsi="Garamond"/>
          <w:sz w:val="22"/>
          <w:szCs w:val="22"/>
          <w:lang w:val="en-GB"/>
        </w:rPr>
        <w:t xml:space="preserve">. </w:t>
      </w:r>
      <w:smartTag w:uri="urn:schemas-microsoft-com:office:smarttags" w:element="City">
        <w:r w:rsidRPr="00711C64">
          <w:rPr>
            <w:rFonts w:ascii="Garamond" w:hAnsi="Garamond"/>
            <w:sz w:val="22"/>
            <w:szCs w:val="22"/>
            <w:lang w:val="en-GB"/>
          </w:rPr>
          <w:t>London</w:t>
        </w:r>
      </w:smartTag>
      <w:r w:rsidRPr="00711C64">
        <w:rPr>
          <w:rFonts w:ascii="Garamond" w:hAnsi="Garamond"/>
          <w:sz w:val="22"/>
          <w:szCs w:val="22"/>
          <w:lang w:val="en-GB"/>
        </w:rPr>
        <w:t xml:space="preserve">: </w:t>
      </w:r>
      <w:smartTag w:uri="urn:schemas-microsoft-com:office:smarttags" w:element="City">
        <w:smartTag w:uri="urn:schemas-microsoft-com:office:smarttags" w:element="place">
          <w:r w:rsidRPr="00711C64">
            <w:rPr>
              <w:rFonts w:ascii="Garamond" w:hAnsi="Garamond"/>
              <w:sz w:val="22"/>
              <w:szCs w:val="22"/>
              <w:lang w:val="en-GB"/>
            </w:rPr>
            <w:t>Ithaca</w:t>
          </w:r>
        </w:smartTag>
      </w:smartTag>
      <w:r w:rsidRPr="00711C64">
        <w:rPr>
          <w:rFonts w:ascii="Garamond" w:hAnsi="Garamond"/>
          <w:sz w:val="22"/>
          <w:szCs w:val="22"/>
          <w:lang w:val="en-GB"/>
        </w:rPr>
        <w:t xml:space="preserve"> P.</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Bourdieu, Pierre. 1991. </w:t>
      </w:r>
      <w:r w:rsidRPr="00711C64">
        <w:rPr>
          <w:rFonts w:ascii="Garamond" w:hAnsi="Garamond"/>
          <w:i/>
          <w:sz w:val="22"/>
          <w:szCs w:val="22"/>
          <w:lang w:val="en-GB"/>
        </w:rPr>
        <w:t>Language and Symbolic Power</w:t>
      </w:r>
      <w:r w:rsidRPr="00711C64">
        <w:rPr>
          <w:rFonts w:ascii="Garamond" w:hAnsi="Garamond"/>
          <w:sz w:val="22"/>
          <w:szCs w:val="22"/>
          <w:lang w:val="en-GB"/>
        </w:rPr>
        <w:t xml:space="preserve">. </w:t>
      </w:r>
      <w:smartTag w:uri="urn:schemas-microsoft-com:office:smarttags" w:element="City">
        <w:smartTag w:uri="urn:schemas-microsoft-com:office:smarttags" w:element="place">
          <w:r w:rsidRPr="00711C64">
            <w:rPr>
              <w:rFonts w:ascii="Garamond" w:hAnsi="Garamond"/>
              <w:sz w:val="22"/>
              <w:szCs w:val="22"/>
              <w:lang w:val="en-GB"/>
            </w:rPr>
            <w:t>Cambridge</w:t>
          </w:r>
        </w:smartTag>
      </w:smartTag>
      <w:r w:rsidRPr="00711C64">
        <w:rPr>
          <w:rFonts w:ascii="Garamond" w:hAnsi="Garamond"/>
          <w:sz w:val="22"/>
          <w:szCs w:val="22"/>
          <w:lang w:val="en-GB"/>
        </w:rPr>
        <w:t>: Polity P.</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Cohen, Abner (ed.)</w:t>
      </w:r>
      <w:r w:rsidRPr="00711C64">
        <w:rPr>
          <w:rFonts w:ascii="Garamond" w:hAnsi="Garamond"/>
          <w:i/>
          <w:sz w:val="22"/>
          <w:szCs w:val="22"/>
          <w:lang w:val="en-GB"/>
        </w:rPr>
        <w:t xml:space="preserve"> </w:t>
      </w:r>
      <w:r w:rsidRPr="00711C64">
        <w:rPr>
          <w:rFonts w:ascii="Garamond" w:hAnsi="Garamond"/>
          <w:sz w:val="22"/>
          <w:szCs w:val="22"/>
          <w:lang w:val="en-GB"/>
        </w:rPr>
        <w:t>1974</w:t>
      </w:r>
      <w:r w:rsidRPr="00711C64">
        <w:rPr>
          <w:rFonts w:ascii="Garamond" w:hAnsi="Garamond"/>
          <w:i/>
          <w:sz w:val="22"/>
          <w:szCs w:val="22"/>
          <w:lang w:val="en-GB"/>
        </w:rPr>
        <w:t>. Urban Ethnicity</w:t>
      </w:r>
      <w:r w:rsidRPr="00711C64">
        <w:rPr>
          <w:rFonts w:ascii="Garamond" w:hAnsi="Garamond"/>
          <w:sz w:val="22"/>
          <w:szCs w:val="22"/>
          <w:lang w:val="en-GB"/>
        </w:rPr>
        <w:t xml:space="preserve">. ASA Monograph 12, </w:t>
      </w:r>
      <w:smartTag w:uri="urn:schemas-microsoft-com:office:smarttags" w:element="City">
        <w:smartTag w:uri="urn:schemas-microsoft-com:office:smarttags" w:element="place">
          <w:r w:rsidRPr="00711C64">
            <w:rPr>
              <w:rFonts w:ascii="Garamond" w:hAnsi="Garamond"/>
              <w:sz w:val="22"/>
              <w:szCs w:val="22"/>
              <w:lang w:val="en-GB"/>
            </w:rPr>
            <w:t>London</w:t>
          </w:r>
        </w:smartTag>
      </w:smartTag>
      <w:r w:rsidRPr="00711C64">
        <w:rPr>
          <w:rFonts w:ascii="Garamond" w:hAnsi="Garamond"/>
          <w:sz w:val="22"/>
          <w:szCs w:val="22"/>
          <w:lang w:val="en-GB"/>
        </w:rPr>
        <w:t>: Tavistock.</w:t>
      </w:r>
    </w:p>
    <w:p w:rsidR="008C1ECB" w:rsidRPr="00711C64" w:rsidRDefault="008C1ECB" w:rsidP="008C1ECB">
      <w:pPr>
        <w:jc w:val="both"/>
        <w:rPr>
          <w:rFonts w:ascii="Garamond" w:hAnsi="Garamond"/>
          <w:sz w:val="22"/>
          <w:szCs w:val="22"/>
          <w:lang w:val="en-GB"/>
        </w:rPr>
      </w:pPr>
      <w:proofErr w:type="spellStart"/>
      <w:r w:rsidRPr="00711C64">
        <w:rPr>
          <w:rFonts w:ascii="Garamond" w:hAnsi="Garamond"/>
          <w:sz w:val="22"/>
          <w:szCs w:val="22"/>
          <w:lang w:val="en-GB"/>
        </w:rPr>
        <w:t>Comaroff</w:t>
      </w:r>
      <w:proofErr w:type="spellEnd"/>
      <w:r w:rsidRPr="00711C64">
        <w:rPr>
          <w:rFonts w:ascii="Garamond" w:hAnsi="Garamond"/>
          <w:sz w:val="22"/>
          <w:szCs w:val="22"/>
          <w:lang w:val="en-GB"/>
        </w:rPr>
        <w:t xml:space="preserve">, John and Jean </w:t>
      </w:r>
      <w:proofErr w:type="spellStart"/>
      <w:r w:rsidRPr="00711C64">
        <w:rPr>
          <w:rFonts w:ascii="Garamond" w:hAnsi="Garamond"/>
          <w:sz w:val="22"/>
          <w:szCs w:val="22"/>
          <w:lang w:val="en-GB"/>
        </w:rPr>
        <w:t>Comaroff</w:t>
      </w:r>
      <w:proofErr w:type="spellEnd"/>
      <w:r w:rsidRPr="00711C64">
        <w:rPr>
          <w:rFonts w:ascii="Garamond" w:hAnsi="Garamond"/>
          <w:sz w:val="22"/>
          <w:szCs w:val="22"/>
          <w:lang w:val="en-GB"/>
        </w:rPr>
        <w:t xml:space="preserve">. 1992. </w:t>
      </w:r>
      <w:r w:rsidRPr="00711C64">
        <w:rPr>
          <w:rFonts w:ascii="Garamond" w:hAnsi="Garamond"/>
          <w:i/>
          <w:sz w:val="22"/>
          <w:szCs w:val="22"/>
          <w:lang w:val="en-GB"/>
        </w:rPr>
        <w:t>Ethnography and the Historical Imagination</w:t>
      </w:r>
      <w:r w:rsidRPr="00711C64">
        <w:rPr>
          <w:rFonts w:ascii="Garamond" w:hAnsi="Garamond"/>
          <w:sz w:val="22"/>
          <w:szCs w:val="22"/>
          <w:lang w:val="en-GB"/>
        </w:rPr>
        <w:t xml:space="preserve">. </w:t>
      </w:r>
      <w:smartTag w:uri="urn:schemas-microsoft-com:office:smarttags" w:element="City">
        <w:smartTag w:uri="urn:schemas-microsoft-com:office:smarttags" w:element="place">
          <w:r w:rsidRPr="00711C64">
            <w:rPr>
              <w:rFonts w:ascii="Garamond" w:hAnsi="Garamond"/>
              <w:sz w:val="22"/>
              <w:szCs w:val="22"/>
              <w:lang w:val="en-GB"/>
            </w:rPr>
            <w:t>Boulder</w:t>
          </w:r>
        </w:smartTag>
      </w:smartTag>
      <w:r w:rsidRPr="00711C64">
        <w:rPr>
          <w:rFonts w:ascii="Garamond" w:hAnsi="Garamond"/>
          <w:sz w:val="22"/>
          <w:szCs w:val="22"/>
          <w:lang w:val="en-GB"/>
        </w:rPr>
        <w:t>: Westview P.</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Gough, Kathleen 1968. “New proposals for anthropologists” </w:t>
      </w:r>
      <w:r w:rsidRPr="00711C64">
        <w:rPr>
          <w:rFonts w:ascii="Garamond" w:hAnsi="Garamond"/>
          <w:i/>
          <w:sz w:val="22"/>
          <w:szCs w:val="22"/>
          <w:lang w:val="en-GB"/>
        </w:rPr>
        <w:t>Current Anthropology</w:t>
      </w:r>
      <w:r w:rsidRPr="00711C64">
        <w:rPr>
          <w:rFonts w:ascii="Garamond" w:hAnsi="Garamond"/>
          <w:sz w:val="22"/>
          <w:szCs w:val="22"/>
          <w:lang w:val="en-GB"/>
        </w:rPr>
        <w:t xml:space="preserve"> 9: 403-7.</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Hall, Stuart 1993. “Culture, community, nation” </w:t>
      </w:r>
      <w:r w:rsidRPr="00711C64">
        <w:rPr>
          <w:rFonts w:ascii="Garamond" w:hAnsi="Garamond"/>
          <w:i/>
          <w:sz w:val="22"/>
          <w:szCs w:val="22"/>
          <w:lang w:val="en-GB"/>
        </w:rPr>
        <w:t>Cultural Studies</w:t>
      </w:r>
      <w:r w:rsidRPr="00711C64">
        <w:rPr>
          <w:rFonts w:ascii="Garamond" w:hAnsi="Garamond"/>
          <w:sz w:val="22"/>
          <w:szCs w:val="22"/>
          <w:lang w:val="en-GB"/>
        </w:rPr>
        <w:t xml:space="preserve"> 7: 349-63.</w:t>
      </w:r>
    </w:p>
    <w:p w:rsidR="008C1ECB" w:rsidRPr="00711C64" w:rsidRDefault="008C1ECB" w:rsidP="008C1ECB">
      <w:pPr>
        <w:jc w:val="both"/>
        <w:rPr>
          <w:rFonts w:ascii="Garamond" w:hAnsi="Garamond"/>
          <w:sz w:val="22"/>
          <w:szCs w:val="22"/>
          <w:lang w:val="en-GB"/>
        </w:rPr>
      </w:pPr>
      <w:proofErr w:type="spellStart"/>
      <w:r w:rsidRPr="00711C64">
        <w:rPr>
          <w:rFonts w:ascii="Garamond" w:hAnsi="Garamond"/>
          <w:sz w:val="22"/>
          <w:szCs w:val="22"/>
          <w:lang w:val="en-GB"/>
        </w:rPr>
        <w:t>Keesing</w:t>
      </w:r>
      <w:proofErr w:type="spellEnd"/>
      <w:r w:rsidRPr="00711C64">
        <w:rPr>
          <w:rFonts w:ascii="Garamond" w:hAnsi="Garamond"/>
          <w:sz w:val="22"/>
          <w:szCs w:val="22"/>
          <w:lang w:val="en-GB"/>
        </w:rPr>
        <w:t xml:space="preserve">, Roger 1974. Theories of culture. </w:t>
      </w:r>
      <w:r w:rsidRPr="00711C64">
        <w:rPr>
          <w:rFonts w:ascii="Garamond" w:hAnsi="Garamond"/>
          <w:i/>
          <w:sz w:val="22"/>
          <w:szCs w:val="22"/>
          <w:lang w:val="en-GB"/>
        </w:rPr>
        <w:t>Annual Review of Anthropology</w:t>
      </w:r>
      <w:r w:rsidRPr="00711C64">
        <w:rPr>
          <w:rFonts w:ascii="Garamond" w:hAnsi="Garamond"/>
          <w:sz w:val="22"/>
          <w:szCs w:val="22"/>
          <w:lang w:val="en-GB"/>
        </w:rPr>
        <w:t xml:space="preserve"> 3: 73-97.</w:t>
      </w:r>
    </w:p>
    <w:p w:rsidR="008C1ECB" w:rsidRPr="00711C64" w:rsidRDefault="008C1ECB" w:rsidP="008C1ECB">
      <w:pPr>
        <w:pStyle w:val="Textoindependiente"/>
        <w:jc w:val="both"/>
        <w:rPr>
          <w:rFonts w:ascii="Garamond" w:hAnsi="Garamond"/>
          <w:b w:val="0"/>
          <w:sz w:val="22"/>
          <w:szCs w:val="22"/>
          <w:lang w:val="en-GB"/>
        </w:rPr>
      </w:pPr>
      <w:r w:rsidRPr="00711C64">
        <w:rPr>
          <w:rFonts w:ascii="Garamond" w:hAnsi="Garamond"/>
          <w:b w:val="0"/>
          <w:sz w:val="22"/>
          <w:szCs w:val="22"/>
          <w:lang w:val="en-GB"/>
        </w:rPr>
        <w:t xml:space="preserve">Kroeber, A.L. and </w:t>
      </w:r>
      <w:proofErr w:type="spellStart"/>
      <w:r w:rsidRPr="00711C64">
        <w:rPr>
          <w:rFonts w:ascii="Garamond" w:hAnsi="Garamond"/>
          <w:b w:val="0"/>
          <w:sz w:val="22"/>
          <w:szCs w:val="22"/>
          <w:lang w:val="en-GB"/>
        </w:rPr>
        <w:t>Kluckhonn</w:t>
      </w:r>
      <w:proofErr w:type="spellEnd"/>
      <w:r w:rsidRPr="00711C64">
        <w:rPr>
          <w:rFonts w:ascii="Garamond" w:hAnsi="Garamond"/>
          <w:b w:val="0"/>
          <w:sz w:val="22"/>
          <w:szCs w:val="22"/>
          <w:lang w:val="en-GB"/>
        </w:rPr>
        <w:t xml:space="preserve">, </w:t>
      </w:r>
      <w:smartTag w:uri="urn:schemas-microsoft-com:office:smarttags" w:element="place">
        <w:r w:rsidRPr="00711C64">
          <w:rPr>
            <w:rFonts w:ascii="Garamond" w:hAnsi="Garamond"/>
            <w:b w:val="0"/>
            <w:sz w:val="22"/>
            <w:szCs w:val="22"/>
            <w:lang w:val="en-GB"/>
          </w:rPr>
          <w:t>Clyde</w:t>
        </w:r>
      </w:smartTag>
      <w:r w:rsidRPr="00711C64">
        <w:rPr>
          <w:rFonts w:ascii="Garamond" w:hAnsi="Garamond"/>
          <w:b w:val="0"/>
          <w:sz w:val="22"/>
          <w:szCs w:val="22"/>
          <w:lang w:val="en-GB"/>
        </w:rPr>
        <w:t xml:space="preserve"> 1952. </w:t>
      </w:r>
      <w:r w:rsidRPr="00711C64">
        <w:rPr>
          <w:rFonts w:ascii="Garamond" w:hAnsi="Garamond"/>
          <w:b w:val="0"/>
          <w:i/>
          <w:sz w:val="22"/>
          <w:szCs w:val="22"/>
          <w:lang w:val="en-GB"/>
        </w:rPr>
        <w:t>Culture. A Critical Review of Concepts and Definitions</w:t>
      </w:r>
      <w:r w:rsidRPr="00711C64">
        <w:rPr>
          <w:rFonts w:ascii="Garamond" w:hAnsi="Garamond"/>
          <w:b w:val="0"/>
          <w:sz w:val="22"/>
          <w:szCs w:val="22"/>
          <w:lang w:val="en-GB"/>
        </w:rPr>
        <w:t xml:space="preserve">. </w:t>
      </w:r>
      <w:smartTag w:uri="urn:schemas-microsoft-com:office:smarttags" w:element="City">
        <w:r w:rsidRPr="00711C64">
          <w:rPr>
            <w:rFonts w:ascii="Garamond" w:hAnsi="Garamond"/>
            <w:b w:val="0"/>
            <w:sz w:val="22"/>
            <w:szCs w:val="22"/>
            <w:lang w:val="en-GB"/>
          </w:rPr>
          <w:t>Cambridge</w:t>
        </w:r>
      </w:smartTag>
      <w:r w:rsidRPr="00711C64">
        <w:rPr>
          <w:rFonts w:ascii="Garamond" w:hAnsi="Garamond"/>
          <w:b w:val="0"/>
          <w:sz w:val="22"/>
          <w:szCs w:val="22"/>
          <w:lang w:val="en-GB"/>
        </w:rPr>
        <w:t xml:space="preserve">, MA.: Papers of the </w:t>
      </w:r>
      <w:smartTag w:uri="urn:schemas-microsoft-com:office:smarttags" w:element="City">
        <w:smartTag w:uri="urn:schemas-microsoft-com:office:smarttags" w:element="place">
          <w:r w:rsidRPr="00711C64">
            <w:rPr>
              <w:rFonts w:ascii="Garamond" w:hAnsi="Garamond"/>
              <w:b w:val="0"/>
              <w:sz w:val="22"/>
              <w:szCs w:val="22"/>
              <w:lang w:val="en-GB"/>
            </w:rPr>
            <w:t>Peabody</w:t>
          </w:r>
        </w:smartTag>
      </w:smartTag>
      <w:r w:rsidRPr="00711C64">
        <w:rPr>
          <w:rFonts w:ascii="Garamond" w:hAnsi="Garamond"/>
          <w:b w:val="0"/>
          <w:sz w:val="22"/>
          <w:szCs w:val="22"/>
          <w:lang w:val="en-GB"/>
        </w:rPr>
        <w:t xml:space="preserve"> Museum XLVII:1.</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Macdonald, </w:t>
      </w:r>
      <w:smartTag w:uri="urn:schemas-microsoft-com:office:smarttags" w:element="City">
        <w:smartTag w:uri="urn:schemas-microsoft-com:office:smarttags" w:element="place">
          <w:r w:rsidRPr="00711C64">
            <w:rPr>
              <w:rFonts w:ascii="Garamond" w:hAnsi="Garamond"/>
              <w:sz w:val="22"/>
              <w:szCs w:val="22"/>
              <w:lang w:val="en-GB"/>
            </w:rPr>
            <w:t>Sharon</w:t>
          </w:r>
        </w:smartTag>
      </w:smartTag>
      <w:r w:rsidRPr="00711C64">
        <w:rPr>
          <w:rFonts w:ascii="Garamond" w:hAnsi="Garamond"/>
          <w:sz w:val="22"/>
          <w:szCs w:val="22"/>
          <w:lang w:val="en-GB"/>
        </w:rPr>
        <w:t xml:space="preserve"> (ed.) 1993. </w:t>
      </w:r>
      <w:r w:rsidRPr="00711C64">
        <w:rPr>
          <w:rFonts w:ascii="Garamond" w:hAnsi="Garamond"/>
          <w:i/>
          <w:sz w:val="22"/>
          <w:szCs w:val="22"/>
          <w:lang w:val="en-GB"/>
        </w:rPr>
        <w:t>Inside European Identities</w:t>
      </w:r>
      <w:r w:rsidRPr="00711C64">
        <w:rPr>
          <w:rFonts w:ascii="Garamond" w:hAnsi="Garamond"/>
          <w:sz w:val="22"/>
          <w:szCs w:val="22"/>
          <w:lang w:val="en-GB"/>
        </w:rPr>
        <w:t xml:space="preserve">. </w:t>
      </w:r>
      <w:smartTag w:uri="urn:schemas-microsoft-com:office:smarttags" w:element="City">
        <w:smartTag w:uri="urn:schemas-microsoft-com:office:smarttags" w:element="place">
          <w:r w:rsidRPr="00711C64">
            <w:rPr>
              <w:rFonts w:ascii="Garamond" w:hAnsi="Garamond"/>
              <w:sz w:val="22"/>
              <w:szCs w:val="22"/>
              <w:lang w:val="en-GB"/>
            </w:rPr>
            <w:t>Oxford</w:t>
          </w:r>
        </w:smartTag>
      </w:smartTag>
      <w:r w:rsidRPr="00711C64">
        <w:rPr>
          <w:rFonts w:ascii="Garamond" w:hAnsi="Garamond"/>
          <w:sz w:val="22"/>
          <w:szCs w:val="22"/>
          <w:lang w:val="en-GB"/>
        </w:rPr>
        <w:t>: Berg.</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lastRenderedPageBreak/>
        <w:t xml:space="preserve">Merry, Sally Engle 1997. Law, culture and cultural appropriation. </w:t>
      </w:r>
      <w:r w:rsidRPr="00711C64">
        <w:rPr>
          <w:rFonts w:ascii="Garamond" w:hAnsi="Garamond"/>
          <w:i/>
          <w:sz w:val="22"/>
          <w:szCs w:val="22"/>
          <w:lang w:val="en-GB"/>
        </w:rPr>
        <w:t xml:space="preserve">Yale Journal of Law and the Humanities </w:t>
      </w:r>
      <w:r w:rsidRPr="00711C64">
        <w:rPr>
          <w:rFonts w:ascii="Garamond" w:hAnsi="Garamond"/>
          <w:sz w:val="22"/>
          <w:szCs w:val="22"/>
          <w:lang w:val="en-GB"/>
        </w:rPr>
        <w:t xml:space="preserve">(de </w:t>
      </w:r>
      <w:proofErr w:type="spellStart"/>
      <w:r w:rsidRPr="00711C64">
        <w:rPr>
          <w:rFonts w:ascii="Garamond" w:hAnsi="Garamond"/>
          <w:sz w:val="22"/>
          <w:szCs w:val="22"/>
          <w:lang w:val="en-GB"/>
        </w:rPr>
        <w:t>próxima</w:t>
      </w:r>
      <w:proofErr w:type="spellEnd"/>
      <w:r w:rsidRPr="00711C64">
        <w:rPr>
          <w:rFonts w:ascii="Garamond" w:hAnsi="Garamond"/>
          <w:sz w:val="22"/>
          <w:szCs w:val="22"/>
          <w:lang w:val="en-GB"/>
        </w:rPr>
        <w:t xml:space="preserve"> </w:t>
      </w:r>
      <w:proofErr w:type="spellStart"/>
      <w:r w:rsidRPr="00711C64">
        <w:rPr>
          <w:rFonts w:ascii="Garamond" w:hAnsi="Garamond"/>
          <w:sz w:val="22"/>
          <w:szCs w:val="22"/>
          <w:lang w:val="en-GB"/>
        </w:rPr>
        <w:t>aparición</w:t>
      </w:r>
      <w:proofErr w:type="spellEnd"/>
      <w:r w:rsidRPr="00711C64">
        <w:rPr>
          <w:rFonts w:ascii="Garamond" w:hAnsi="Garamond"/>
          <w:sz w:val="22"/>
          <w:szCs w:val="22"/>
          <w:lang w:val="en-GB"/>
        </w:rPr>
        <w:t>)</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Morley, David and Chen, </w:t>
      </w:r>
      <w:proofErr w:type="spellStart"/>
      <w:r w:rsidRPr="00711C64">
        <w:rPr>
          <w:rFonts w:ascii="Garamond" w:hAnsi="Garamond"/>
          <w:sz w:val="22"/>
          <w:szCs w:val="22"/>
          <w:lang w:val="en-GB"/>
        </w:rPr>
        <w:t>Kuan-Hsing</w:t>
      </w:r>
      <w:proofErr w:type="spellEnd"/>
      <w:r w:rsidRPr="00711C64">
        <w:rPr>
          <w:rFonts w:ascii="Garamond" w:hAnsi="Garamond"/>
          <w:sz w:val="22"/>
          <w:szCs w:val="22"/>
          <w:lang w:val="en-GB"/>
        </w:rPr>
        <w:t xml:space="preserve"> 1996. </w:t>
      </w:r>
      <w:r w:rsidRPr="00711C64">
        <w:rPr>
          <w:rFonts w:ascii="Garamond" w:hAnsi="Garamond"/>
          <w:i/>
          <w:sz w:val="22"/>
          <w:szCs w:val="22"/>
          <w:lang w:val="en-GB"/>
        </w:rPr>
        <w:t>Stuart Hall. Critical Dialogues in Cultural Studies</w:t>
      </w:r>
      <w:r w:rsidRPr="00711C64">
        <w:rPr>
          <w:rFonts w:ascii="Garamond" w:hAnsi="Garamond"/>
          <w:sz w:val="22"/>
          <w:szCs w:val="22"/>
          <w:lang w:val="en-GB"/>
        </w:rPr>
        <w:t xml:space="preserve">. </w:t>
      </w:r>
      <w:smartTag w:uri="urn:schemas-microsoft-com:office:smarttags" w:element="City">
        <w:smartTag w:uri="urn:schemas-microsoft-com:office:smarttags" w:element="place">
          <w:r w:rsidRPr="00711C64">
            <w:rPr>
              <w:rFonts w:ascii="Garamond" w:hAnsi="Garamond"/>
              <w:sz w:val="22"/>
              <w:szCs w:val="22"/>
              <w:lang w:val="en-GB"/>
            </w:rPr>
            <w:t>London</w:t>
          </w:r>
        </w:smartTag>
      </w:smartTag>
      <w:r w:rsidRPr="00711C64">
        <w:rPr>
          <w:rFonts w:ascii="Garamond" w:hAnsi="Garamond"/>
          <w:sz w:val="22"/>
          <w:szCs w:val="22"/>
          <w:lang w:val="en-GB"/>
        </w:rPr>
        <w:t>: Routledge.</w:t>
      </w:r>
    </w:p>
    <w:p w:rsidR="008C1ECB" w:rsidRPr="00711C64" w:rsidRDefault="008C1ECB" w:rsidP="008C1ECB">
      <w:pPr>
        <w:jc w:val="both"/>
        <w:rPr>
          <w:rFonts w:ascii="Garamond" w:hAnsi="Garamond"/>
          <w:sz w:val="22"/>
          <w:szCs w:val="22"/>
          <w:lang w:val="en-GB"/>
        </w:rPr>
      </w:pPr>
      <w:proofErr w:type="spellStart"/>
      <w:r w:rsidRPr="00711C64">
        <w:rPr>
          <w:rFonts w:ascii="Garamond" w:hAnsi="Garamond"/>
          <w:sz w:val="22"/>
          <w:szCs w:val="22"/>
          <w:lang w:val="en-GB"/>
        </w:rPr>
        <w:t>Ortner</w:t>
      </w:r>
      <w:proofErr w:type="spellEnd"/>
      <w:r w:rsidRPr="00711C64">
        <w:rPr>
          <w:rFonts w:ascii="Garamond" w:hAnsi="Garamond"/>
          <w:sz w:val="22"/>
          <w:szCs w:val="22"/>
          <w:lang w:val="en-GB"/>
        </w:rPr>
        <w:t xml:space="preserve">, Sherry 1984. Theory in Anthropology since the sixties. </w:t>
      </w:r>
      <w:r w:rsidRPr="00711C64">
        <w:rPr>
          <w:rFonts w:ascii="Garamond" w:hAnsi="Garamond"/>
          <w:i/>
          <w:sz w:val="22"/>
          <w:szCs w:val="22"/>
          <w:lang w:val="en-GB"/>
        </w:rPr>
        <w:t>Comparative Studies in Society and History</w:t>
      </w:r>
      <w:r w:rsidRPr="00711C64">
        <w:rPr>
          <w:rFonts w:ascii="Garamond" w:hAnsi="Garamond"/>
          <w:sz w:val="22"/>
          <w:szCs w:val="22"/>
          <w:lang w:val="en-GB"/>
        </w:rPr>
        <w:t xml:space="preserve"> 26 (1): 126-66.</w:t>
      </w:r>
    </w:p>
    <w:p w:rsidR="008C1ECB" w:rsidRPr="00711C64" w:rsidRDefault="008C1ECB" w:rsidP="008C1ECB">
      <w:pPr>
        <w:pStyle w:val="Textoindependiente"/>
        <w:jc w:val="both"/>
        <w:rPr>
          <w:rFonts w:ascii="Garamond" w:hAnsi="Garamond"/>
          <w:b w:val="0"/>
          <w:sz w:val="22"/>
          <w:szCs w:val="22"/>
          <w:lang w:val="en-GB"/>
        </w:rPr>
      </w:pPr>
      <w:r w:rsidRPr="00711C64">
        <w:rPr>
          <w:rFonts w:ascii="Garamond" w:hAnsi="Garamond"/>
          <w:b w:val="0"/>
          <w:sz w:val="22"/>
          <w:szCs w:val="22"/>
          <w:lang w:val="en-GB"/>
        </w:rPr>
        <w:t xml:space="preserve">Reinhold, Sue. 1993. </w:t>
      </w:r>
      <w:r w:rsidRPr="00711C64">
        <w:rPr>
          <w:rFonts w:ascii="Garamond" w:hAnsi="Garamond"/>
          <w:b w:val="0"/>
          <w:i/>
          <w:sz w:val="22"/>
          <w:szCs w:val="22"/>
          <w:lang w:val="en-GB"/>
        </w:rPr>
        <w:t>Local conflict and ideological struggle: ‘positive images’ and Section 28</w:t>
      </w:r>
      <w:r w:rsidRPr="00711C64">
        <w:rPr>
          <w:rFonts w:ascii="Garamond" w:hAnsi="Garamond"/>
          <w:b w:val="0"/>
          <w:sz w:val="22"/>
          <w:szCs w:val="22"/>
          <w:lang w:val="en-GB"/>
        </w:rPr>
        <w:t xml:space="preserve">. Unpublished D.Phil. thesis, U. Of </w:t>
      </w:r>
      <w:smartTag w:uri="urn:schemas-microsoft-com:office:smarttags" w:element="country-region">
        <w:smartTag w:uri="urn:schemas-microsoft-com:office:smarttags" w:element="place">
          <w:r w:rsidRPr="00711C64">
            <w:rPr>
              <w:rFonts w:ascii="Garamond" w:hAnsi="Garamond"/>
              <w:b w:val="0"/>
              <w:sz w:val="22"/>
              <w:szCs w:val="22"/>
              <w:lang w:val="en-GB"/>
            </w:rPr>
            <w:t>Sussex</w:t>
          </w:r>
        </w:smartTag>
      </w:smartTag>
      <w:r w:rsidRPr="00711C64">
        <w:rPr>
          <w:rFonts w:ascii="Garamond" w:hAnsi="Garamond"/>
          <w:b w:val="0"/>
          <w:sz w:val="22"/>
          <w:szCs w:val="22"/>
          <w:lang w:val="en-GB"/>
        </w:rPr>
        <w:t>.</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Said, Edward. 1978. </w:t>
      </w:r>
      <w:r w:rsidRPr="00711C64">
        <w:rPr>
          <w:rFonts w:ascii="Garamond" w:hAnsi="Garamond"/>
          <w:i/>
          <w:sz w:val="22"/>
          <w:szCs w:val="22"/>
          <w:lang w:val="en-GB"/>
        </w:rPr>
        <w:t>Orientalism</w:t>
      </w:r>
      <w:r w:rsidRPr="00711C64">
        <w:rPr>
          <w:rFonts w:ascii="Garamond" w:hAnsi="Garamond"/>
          <w:sz w:val="22"/>
          <w:szCs w:val="22"/>
          <w:lang w:val="en-GB"/>
        </w:rPr>
        <w:t xml:space="preserve">. </w:t>
      </w:r>
      <w:proofErr w:type="spellStart"/>
      <w:r w:rsidRPr="00711C64">
        <w:rPr>
          <w:rFonts w:ascii="Garamond" w:hAnsi="Garamond"/>
          <w:sz w:val="22"/>
          <w:szCs w:val="22"/>
          <w:lang w:val="en-GB"/>
        </w:rPr>
        <w:t>Harmondsworth</w:t>
      </w:r>
      <w:proofErr w:type="spellEnd"/>
      <w:r w:rsidRPr="00711C64">
        <w:rPr>
          <w:rFonts w:ascii="Garamond" w:hAnsi="Garamond"/>
          <w:sz w:val="22"/>
          <w:szCs w:val="22"/>
          <w:lang w:val="en-GB"/>
        </w:rPr>
        <w:t>: Penguin.</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Stocking, George 1974. </w:t>
      </w:r>
      <w:r w:rsidRPr="00711C64">
        <w:rPr>
          <w:rFonts w:ascii="Garamond" w:hAnsi="Garamond"/>
          <w:i/>
          <w:sz w:val="22"/>
          <w:szCs w:val="22"/>
          <w:lang w:val="en-GB"/>
        </w:rPr>
        <w:t>The Shaping of American Anthropology, 1883-1911: A Franz Boas Reader</w:t>
      </w:r>
      <w:r w:rsidRPr="00711C64">
        <w:rPr>
          <w:rFonts w:ascii="Garamond" w:hAnsi="Garamond"/>
          <w:sz w:val="22"/>
          <w:szCs w:val="22"/>
          <w:lang w:val="en-GB"/>
        </w:rPr>
        <w:t xml:space="preserve">. </w:t>
      </w:r>
      <w:smartTag w:uri="urn:schemas-microsoft-com:office:smarttags" w:element="State">
        <w:smartTag w:uri="urn:schemas-microsoft-com:office:smarttags" w:element="place">
          <w:r w:rsidRPr="00711C64">
            <w:rPr>
              <w:rFonts w:ascii="Garamond" w:hAnsi="Garamond"/>
              <w:sz w:val="22"/>
              <w:szCs w:val="22"/>
              <w:lang w:val="en-GB"/>
            </w:rPr>
            <w:t>New York</w:t>
          </w:r>
        </w:smartTag>
      </w:smartTag>
      <w:r w:rsidRPr="00711C64">
        <w:rPr>
          <w:rFonts w:ascii="Garamond" w:hAnsi="Garamond"/>
          <w:sz w:val="22"/>
          <w:szCs w:val="22"/>
          <w:lang w:val="en-GB"/>
        </w:rPr>
        <w:t>: Basic Books.</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Street, Brian 1993. “Culture is a verb: anthropological aspects of language and cultural process” in </w:t>
      </w:r>
      <w:proofErr w:type="spellStart"/>
      <w:r w:rsidRPr="00711C64">
        <w:rPr>
          <w:rFonts w:ascii="Garamond" w:hAnsi="Garamond"/>
          <w:sz w:val="22"/>
          <w:szCs w:val="22"/>
          <w:lang w:val="en-GB"/>
        </w:rPr>
        <w:t>Graddol</w:t>
      </w:r>
      <w:proofErr w:type="spellEnd"/>
      <w:r w:rsidRPr="00711C64">
        <w:rPr>
          <w:rFonts w:ascii="Garamond" w:hAnsi="Garamond"/>
          <w:sz w:val="22"/>
          <w:szCs w:val="22"/>
          <w:lang w:val="en-GB"/>
        </w:rPr>
        <w:t xml:space="preserve">, D.; Thompson, L. and </w:t>
      </w:r>
      <w:proofErr w:type="spellStart"/>
      <w:r w:rsidRPr="00711C64">
        <w:rPr>
          <w:rFonts w:ascii="Garamond" w:hAnsi="Garamond"/>
          <w:sz w:val="22"/>
          <w:szCs w:val="22"/>
          <w:lang w:val="en-GB"/>
        </w:rPr>
        <w:t>Byram</w:t>
      </w:r>
      <w:proofErr w:type="spellEnd"/>
      <w:r w:rsidRPr="00711C64">
        <w:rPr>
          <w:rFonts w:ascii="Garamond" w:hAnsi="Garamond"/>
          <w:sz w:val="22"/>
          <w:szCs w:val="22"/>
          <w:lang w:val="en-GB"/>
        </w:rPr>
        <w:t xml:space="preserve">, M. (eds.) </w:t>
      </w:r>
      <w:r w:rsidRPr="00711C64">
        <w:rPr>
          <w:rFonts w:ascii="Garamond" w:hAnsi="Garamond"/>
          <w:i/>
          <w:sz w:val="22"/>
          <w:szCs w:val="22"/>
          <w:lang w:val="en-GB"/>
        </w:rPr>
        <w:t>Language and Culture</w:t>
      </w:r>
      <w:r w:rsidRPr="00711C64">
        <w:rPr>
          <w:rFonts w:ascii="Garamond" w:hAnsi="Garamond"/>
          <w:sz w:val="22"/>
          <w:szCs w:val="22"/>
          <w:lang w:val="en-GB"/>
        </w:rPr>
        <w:t xml:space="preserve">. Clevedon, </w:t>
      </w:r>
      <w:smartTag w:uri="urn:schemas-microsoft-com:office:smarttags" w:element="place">
        <w:r w:rsidRPr="00711C64">
          <w:rPr>
            <w:rFonts w:ascii="Garamond" w:hAnsi="Garamond"/>
            <w:sz w:val="22"/>
            <w:szCs w:val="22"/>
            <w:lang w:val="en-GB"/>
          </w:rPr>
          <w:t>Avon</w:t>
        </w:r>
      </w:smartTag>
      <w:r w:rsidRPr="00711C64">
        <w:rPr>
          <w:rFonts w:ascii="Garamond" w:hAnsi="Garamond"/>
          <w:sz w:val="22"/>
          <w:szCs w:val="22"/>
          <w:lang w:val="en-GB"/>
        </w:rPr>
        <w:t>: British Association for Applied Linguistics in association with Multilingual Matters.</w:t>
      </w:r>
    </w:p>
    <w:p w:rsidR="008C1ECB" w:rsidRPr="00711C64" w:rsidRDefault="008C1ECB" w:rsidP="008C1ECB">
      <w:pPr>
        <w:jc w:val="both"/>
        <w:rPr>
          <w:rFonts w:ascii="Garamond" w:hAnsi="Garamond"/>
          <w:sz w:val="22"/>
          <w:szCs w:val="22"/>
          <w:lang w:val="en-GB"/>
        </w:rPr>
      </w:pPr>
      <w:r w:rsidRPr="00711C64">
        <w:rPr>
          <w:rFonts w:ascii="Garamond" w:hAnsi="Garamond"/>
          <w:sz w:val="22"/>
          <w:szCs w:val="22"/>
          <w:lang w:val="en-GB"/>
        </w:rPr>
        <w:t xml:space="preserve">Tylor, Edward B. 1871. </w:t>
      </w:r>
      <w:r w:rsidRPr="00711C64">
        <w:rPr>
          <w:rFonts w:ascii="Garamond" w:hAnsi="Garamond"/>
          <w:i/>
          <w:sz w:val="22"/>
          <w:szCs w:val="22"/>
          <w:lang w:val="en-GB"/>
        </w:rPr>
        <w:t>Primitive Culture</w:t>
      </w:r>
      <w:r w:rsidRPr="00711C64">
        <w:rPr>
          <w:rFonts w:ascii="Garamond" w:hAnsi="Garamond"/>
          <w:sz w:val="22"/>
          <w:szCs w:val="22"/>
          <w:lang w:val="en-GB"/>
        </w:rPr>
        <w:t xml:space="preserve">. </w:t>
      </w:r>
      <w:smartTag w:uri="urn:schemas-microsoft-com:office:smarttags" w:element="State">
        <w:smartTag w:uri="urn:schemas-microsoft-com:office:smarttags" w:element="place">
          <w:r w:rsidRPr="00711C64">
            <w:rPr>
              <w:rFonts w:ascii="Garamond" w:hAnsi="Garamond"/>
              <w:sz w:val="22"/>
              <w:szCs w:val="22"/>
              <w:lang w:val="en-GB"/>
            </w:rPr>
            <w:t>New York</w:t>
          </w:r>
        </w:smartTag>
      </w:smartTag>
      <w:r w:rsidRPr="00711C64">
        <w:rPr>
          <w:rFonts w:ascii="Garamond" w:hAnsi="Garamond"/>
          <w:sz w:val="22"/>
          <w:szCs w:val="22"/>
          <w:lang w:val="en-GB"/>
        </w:rPr>
        <w:t>: Harper.</w:t>
      </w:r>
    </w:p>
    <w:p w:rsidR="008C1ECB" w:rsidRPr="00711C64" w:rsidRDefault="008C1ECB" w:rsidP="008C1ECB">
      <w:pPr>
        <w:pStyle w:val="Textoindependiente"/>
        <w:jc w:val="both"/>
        <w:rPr>
          <w:rFonts w:ascii="Garamond" w:hAnsi="Garamond"/>
          <w:b w:val="0"/>
          <w:sz w:val="22"/>
          <w:szCs w:val="22"/>
        </w:rPr>
      </w:pPr>
      <w:r w:rsidRPr="00711C64">
        <w:rPr>
          <w:rFonts w:ascii="Garamond" w:hAnsi="Garamond"/>
          <w:b w:val="0"/>
          <w:sz w:val="22"/>
          <w:szCs w:val="22"/>
          <w:lang w:val="en-US"/>
        </w:rPr>
        <w:t xml:space="preserve">Williams, Raymond 1976. </w:t>
      </w:r>
      <w:proofErr w:type="spellStart"/>
      <w:r w:rsidRPr="00711C64">
        <w:rPr>
          <w:rFonts w:ascii="Garamond" w:hAnsi="Garamond"/>
          <w:b w:val="0"/>
          <w:i/>
          <w:sz w:val="22"/>
          <w:szCs w:val="22"/>
        </w:rPr>
        <w:t>Keywords</w:t>
      </w:r>
      <w:proofErr w:type="spellEnd"/>
      <w:r w:rsidRPr="00711C64">
        <w:rPr>
          <w:rFonts w:ascii="Garamond" w:hAnsi="Garamond"/>
          <w:b w:val="0"/>
          <w:sz w:val="22"/>
          <w:szCs w:val="22"/>
        </w:rPr>
        <w:t>. London: Fontana.</w:t>
      </w:r>
    </w:p>
    <w:p w:rsidR="004D002E" w:rsidRDefault="004D002E"/>
    <w:sectPr w:rsidR="004D002E" w:rsidSect="004D002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E6E" w:rsidRDefault="00BB4E6E" w:rsidP="008C1ECB">
      <w:r>
        <w:separator/>
      </w:r>
    </w:p>
  </w:endnote>
  <w:endnote w:type="continuationSeparator" w:id="0">
    <w:p w:rsidR="00BB4E6E" w:rsidRDefault="00BB4E6E" w:rsidP="008C1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Humanst521 BT">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E6E" w:rsidRDefault="00BB4E6E" w:rsidP="008C1ECB">
      <w:r>
        <w:separator/>
      </w:r>
    </w:p>
  </w:footnote>
  <w:footnote w:type="continuationSeparator" w:id="0">
    <w:p w:rsidR="00BB4E6E" w:rsidRDefault="00BB4E6E" w:rsidP="008C1ECB">
      <w:r>
        <w:continuationSeparator/>
      </w:r>
    </w:p>
  </w:footnote>
  <w:footnote w:id="1">
    <w:p w:rsidR="008C1ECB" w:rsidRDefault="008C1ECB" w:rsidP="008C1ECB">
      <w:pPr>
        <w:jc w:val="both"/>
        <w:rPr>
          <w:sz w:val="20"/>
          <w:lang w:val="es-ES_tradnl"/>
        </w:rPr>
      </w:pPr>
      <w:r>
        <w:rPr>
          <w:rStyle w:val="Refdenotaalpie"/>
          <w:sz w:val="20"/>
        </w:rPr>
        <w:footnoteRef/>
      </w:r>
      <w:r>
        <w:rPr>
          <w:sz w:val="20"/>
        </w:rPr>
        <w:t xml:space="preserve"> Originalmente publicado en inglés en </w:t>
      </w:r>
      <w:proofErr w:type="spellStart"/>
      <w:r>
        <w:rPr>
          <w:i/>
          <w:sz w:val="20"/>
        </w:rPr>
        <w:t>Anthropology</w:t>
      </w:r>
      <w:proofErr w:type="spellEnd"/>
      <w:r>
        <w:rPr>
          <w:i/>
          <w:sz w:val="20"/>
        </w:rPr>
        <w:t xml:space="preserve"> </w:t>
      </w:r>
      <w:proofErr w:type="spellStart"/>
      <w:r>
        <w:rPr>
          <w:i/>
          <w:sz w:val="20"/>
        </w:rPr>
        <w:t>Today</w:t>
      </w:r>
      <w:proofErr w:type="spellEnd"/>
      <w:r>
        <w:rPr>
          <w:sz w:val="20"/>
        </w:rPr>
        <w:t xml:space="preserve"> Vol. 14 No 1, Febrero de 1998. Publicado en español en </w:t>
      </w:r>
      <w:r>
        <w:rPr>
          <w:i/>
          <w:sz w:val="20"/>
        </w:rPr>
        <w:t>Constructores de otredad. Una introducción a la antropología social y cultural.</w:t>
      </w:r>
      <w:r>
        <w:rPr>
          <w:sz w:val="20"/>
        </w:rPr>
        <w:t xml:space="preserve"> (</w:t>
      </w:r>
      <w:proofErr w:type="spellStart"/>
      <w:r>
        <w:rPr>
          <w:sz w:val="20"/>
        </w:rPr>
        <w:t>Boivin</w:t>
      </w:r>
      <w:proofErr w:type="spellEnd"/>
      <w:r>
        <w:rPr>
          <w:sz w:val="20"/>
        </w:rPr>
        <w:t xml:space="preserve">, M.; </w:t>
      </w:r>
      <w:proofErr w:type="spellStart"/>
      <w:r>
        <w:rPr>
          <w:sz w:val="20"/>
        </w:rPr>
        <w:t>Rosato</w:t>
      </w:r>
      <w:proofErr w:type="spellEnd"/>
      <w:r>
        <w:rPr>
          <w:sz w:val="20"/>
        </w:rPr>
        <w:t xml:space="preserve">, A. y Arribas, V.). Editorial Antropofagia. 2004. Traducido por Florencia </w:t>
      </w:r>
      <w:proofErr w:type="spellStart"/>
      <w:r>
        <w:rPr>
          <w:sz w:val="20"/>
        </w:rPr>
        <w:t>Enghel</w:t>
      </w:r>
      <w:proofErr w:type="spellEnd"/>
      <w:r>
        <w:rPr>
          <w:sz w:val="20"/>
        </w:rPr>
        <w:t xml:space="preserve"> y r</w:t>
      </w:r>
      <w:proofErr w:type="spellStart"/>
      <w:r>
        <w:rPr>
          <w:sz w:val="20"/>
          <w:lang w:val="es-ES_tradnl"/>
        </w:rPr>
        <w:t>evisado</w:t>
      </w:r>
      <w:proofErr w:type="spellEnd"/>
      <w:r>
        <w:rPr>
          <w:sz w:val="20"/>
          <w:lang w:val="es-ES_tradnl"/>
        </w:rPr>
        <w:t xml:space="preserve"> por Mauricio </w:t>
      </w:r>
      <w:proofErr w:type="spellStart"/>
      <w:r>
        <w:rPr>
          <w:sz w:val="20"/>
          <w:lang w:val="es-ES_tradnl"/>
        </w:rPr>
        <w:t>Boivin</w:t>
      </w:r>
      <w:proofErr w:type="spellEnd"/>
      <w:r>
        <w:rPr>
          <w:sz w:val="20"/>
          <w:lang w:val="es-ES_tradnl"/>
        </w:rPr>
        <w:t xml:space="preserve"> y Julieta </w:t>
      </w:r>
      <w:proofErr w:type="spellStart"/>
      <w:r>
        <w:rPr>
          <w:sz w:val="20"/>
          <w:lang w:val="es-ES_tradnl"/>
        </w:rPr>
        <w:t>Gaztañaga</w:t>
      </w:r>
      <w:proofErr w:type="spellEnd"/>
      <w:r>
        <w:rPr>
          <w:sz w:val="20"/>
          <w:lang w:val="es-ES_tradnl"/>
        </w:rPr>
        <w:t xml:space="preserve">. La versión aquí presentada es una adaptación realizada especialmente para el Módulo 1 “Historia de </w:t>
      </w:r>
      <w:smartTag w:uri="urn:schemas-microsoft-com:office:smarttags" w:element="PersonName">
        <w:smartTagPr>
          <w:attr w:name="ProductID" w:val="la Cultura"/>
        </w:smartTagPr>
        <w:r>
          <w:rPr>
            <w:sz w:val="20"/>
            <w:lang w:val="es-ES_tradnl"/>
          </w:rPr>
          <w:t>la Cultura</w:t>
        </w:r>
      </w:smartTag>
      <w:r>
        <w:rPr>
          <w:sz w:val="20"/>
          <w:lang w:val="es-ES_tradnl"/>
        </w:rPr>
        <w:t xml:space="preserve">” del Bachillerato IMPA. </w:t>
      </w:r>
    </w:p>
  </w:footnote>
  <w:footnote w:id="2">
    <w:p w:rsidR="008C1ECB" w:rsidRDefault="008C1ECB" w:rsidP="008C1ECB">
      <w:pPr>
        <w:pStyle w:val="Textonotapie"/>
        <w:jc w:val="both"/>
        <w:rPr>
          <w:rFonts w:ascii="Times New Roman" w:hAnsi="Times New Roman"/>
        </w:rPr>
      </w:pPr>
      <w:r>
        <w:rPr>
          <w:rStyle w:val="Refdenotaalpie"/>
          <w:rFonts w:ascii="Times New Roman" w:hAnsi="Times New Roman"/>
        </w:rPr>
        <w:footnoteRef/>
      </w:r>
      <w:r>
        <w:rPr>
          <w:rFonts w:ascii="Times New Roman" w:hAnsi="Times New Roman"/>
        </w:rPr>
        <w:t xml:space="preserve"> </w:t>
      </w:r>
      <w:r>
        <w:rPr>
          <w:rFonts w:ascii="Times New Roman" w:hAnsi="Times New Roman"/>
          <w:lang w:val="es-ES_tradnl"/>
        </w:rPr>
        <w:t xml:space="preserve">La autora es catedrática en Estudios Culturales de </w:t>
      </w:r>
      <w:smartTag w:uri="urn:schemas-microsoft-com:office:smarttags" w:element="PersonName">
        <w:smartTagPr>
          <w:attr w:name="ProductID" w:val="la Universidad"/>
        </w:smartTagPr>
        <w:r>
          <w:rPr>
            <w:rFonts w:ascii="Times New Roman" w:hAnsi="Times New Roman"/>
            <w:lang w:val="es-ES_tradnl"/>
          </w:rPr>
          <w:t>la Universidad</w:t>
        </w:r>
      </w:smartTag>
      <w:r>
        <w:rPr>
          <w:rFonts w:ascii="Times New Roman" w:hAnsi="Times New Roman"/>
          <w:lang w:val="es-ES_tradnl"/>
        </w:rPr>
        <w:t xml:space="preserve"> de Birmingham. Es una antropóloga social que ha investigado cultura política y los procesos de gobernabilidad en el Reino Unido e Irán.</w:t>
      </w:r>
    </w:p>
  </w:footnote>
  <w:footnote w:id="3">
    <w:p w:rsidR="008C1ECB" w:rsidRDefault="008C1ECB" w:rsidP="008C1ECB">
      <w:pPr>
        <w:pStyle w:val="Textonotapie"/>
        <w:jc w:val="both"/>
        <w:rPr>
          <w:rFonts w:ascii="Times New Roman" w:hAnsi="Times New Roman"/>
        </w:rPr>
      </w:pPr>
      <w:r>
        <w:rPr>
          <w:rStyle w:val="Refdenotaalpie"/>
          <w:rFonts w:ascii="Times New Roman" w:hAnsi="Times New Roman"/>
        </w:rPr>
        <w:footnoteRef/>
      </w:r>
      <w:r>
        <w:rPr>
          <w:rFonts w:ascii="Times New Roman" w:hAnsi="Times New Roman"/>
        </w:rPr>
        <w:t xml:space="preserve"> </w:t>
      </w:r>
      <w:r>
        <w:rPr>
          <w:rFonts w:ascii="Times New Roman" w:hAnsi="Times New Roman"/>
          <w:lang w:val="es-ES_tradnl"/>
        </w:rPr>
        <w:t>No intentaré resumir todos los debates de los “70 en la antropología norteamericana, británica y francesa sobre dónde residía la “cultura” –en una estructura de actual relaciones sociales (</w:t>
      </w:r>
      <w:proofErr w:type="spellStart"/>
      <w:r>
        <w:rPr>
          <w:rFonts w:ascii="Times New Roman" w:hAnsi="Times New Roman"/>
          <w:lang w:val="es-ES_tradnl"/>
        </w:rPr>
        <w:t>Radcliffe</w:t>
      </w:r>
      <w:proofErr w:type="spellEnd"/>
      <w:r>
        <w:rPr>
          <w:rFonts w:ascii="Times New Roman" w:hAnsi="Times New Roman"/>
          <w:lang w:val="es-ES_tradnl"/>
        </w:rPr>
        <w:t>-Brown), en un conjunto subyacente de valores, ideas y principios que informaban todos los dominios de la organización social, económica y política (Evans-</w:t>
      </w:r>
      <w:proofErr w:type="spellStart"/>
      <w:r>
        <w:rPr>
          <w:rFonts w:ascii="Times New Roman" w:hAnsi="Times New Roman"/>
          <w:lang w:val="es-ES_tradnl"/>
        </w:rPr>
        <w:t>Pritchard</w:t>
      </w:r>
      <w:proofErr w:type="spellEnd"/>
      <w:r>
        <w:rPr>
          <w:rFonts w:ascii="Times New Roman" w:hAnsi="Times New Roman"/>
          <w:lang w:val="es-ES_tradnl"/>
        </w:rPr>
        <w:t xml:space="preserve">), en un patrón </w:t>
      </w:r>
      <w:proofErr w:type="spellStart"/>
      <w:r>
        <w:rPr>
          <w:rFonts w:ascii="Times New Roman" w:hAnsi="Times New Roman"/>
          <w:lang w:val="es-ES_tradnl"/>
        </w:rPr>
        <w:t>superorgánico</w:t>
      </w:r>
      <w:proofErr w:type="spellEnd"/>
      <w:r>
        <w:rPr>
          <w:rFonts w:ascii="Times New Roman" w:hAnsi="Times New Roman"/>
          <w:lang w:val="es-ES_tradnl"/>
        </w:rPr>
        <w:t xml:space="preserve"> de fuerzas abstraído de eventos y comportamiento observados (</w:t>
      </w:r>
      <w:proofErr w:type="spellStart"/>
      <w:r>
        <w:rPr>
          <w:rFonts w:ascii="Times New Roman" w:hAnsi="Times New Roman"/>
          <w:lang w:val="es-ES_tradnl"/>
        </w:rPr>
        <w:t>Kroeber</w:t>
      </w:r>
      <w:proofErr w:type="spellEnd"/>
      <w:r>
        <w:rPr>
          <w:rFonts w:ascii="Times New Roman" w:hAnsi="Times New Roman"/>
          <w:lang w:val="es-ES_tradnl"/>
        </w:rPr>
        <w:t>), en un plano de sistemas de símbolos culturales (Schneider), en los procesos de la mente humana que producen sistemas simbólicos formalmente similares (Levi-Strauss), en las mentes de los individuos, como un algoritmo etnográfico de lo que necesitan saber para operar como miembros de la sociedad (</w:t>
      </w:r>
      <w:proofErr w:type="spellStart"/>
      <w:r>
        <w:rPr>
          <w:rFonts w:ascii="Times New Roman" w:hAnsi="Times New Roman"/>
          <w:lang w:val="es-ES_tradnl"/>
        </w:rPr>
        <w:t>Goodenough</w:t>
      </w:r>
      <w:proofErr w:type="spellEnd"/>
      <w:r>
        <w:rPr>
          <w:rFonts w:ascii="Times New Roman" w:hAnsi="Times New Roman"/>
          <w:lang w:val="es-ES_tradnl"/>
        </w:rPr>
        <w:t>), o como sistemas interconectados de signos comprensibles a través de los cuales la acción simbólica pública puede ser interpretada (</w:t>
      </w:r>
      <w:proofErr w:type="spellStart"/>
      <w:r>
        <w:rPr>
          <w:rFonts w:ascii="Times New Roman" w:hAnsi="Times New Roman"/>
          <w:lang w:val="es-ES_tradnl"/>
        </w:rPr>
        <w:t>Geertz</w:t>
      </w:r>
      <w:proofErr w:type="spellEnd"/>
      <w:r>
        <w:rPr>
          <w:rFonts w:ascii="Times New Roman" w:hAnsi="Times New Roman"/>
          <w:lang w:val="es-ES_tradnl"/>
        </w:rPr>
        <w:t xml:space="preserve">). Existen numerosos resúmenes de ese tipo, como por ejemplo </w:t>
      </w:r>
      <w:proofErr w:type="spellStart"/>
      <w:r>
        <w:rPr>
          <w:rFonts w:ascii="Times New Roman" w:hAnsi="Times New Roman"/>
          <w:lang w:val="es-ES_tradnl"/>
        </w:rPr>
        <w:t>Keesing</w:t>
      </w:r>
      <w:proofErr w:type="spellEnd"/>
      <w:r>
        <w:rPr>
          <w:rFonts w:ascii="Times New Roman" w:hAnsi="Times New Roman"/>
          <w:lang w:val="es-ES_tradnl"/>
        </w:rPr>
        <w:t xml:space="preserve"> 1974.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D673AA"/>
    <w:multiLevelType w:val="singleLevel"/>
    <w:tmpl w:val="161E0414"/>
    <w:lvl w:ilvl="0">
      <w:numFmt w:val="bullet"/>
      <w:lvlText w:val="-"/>
      <w:lvlJc w:val="left"/>
      <w:pPr>
        <w:tabs>
          <w:tab w:val="num" w:pos="1080"/>
        </w:tabs>
        <w:ind w:left="10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CB"/>
    <w:rsid w:val="00002BD0"/>
    <w:rsid w:val="000077DA"/>
    <w:rsid w:val="000B57DA"/>
    <w:rsid w:val="001059F7"/>
    <w:rsid w:val="00130442"/>
    <w:rsid w:val="0013738A"/>
    <w:rsid w:val="0019027A"/>
    <w:rsid w:val="001D10DC"/>
    <w:rsid w:val="00237438"/>
    <w:rsid w:val="002461DB"/>
    <w:rsid w:val="002B5F0F"/>
    <w:rsid w:val="00326C42"/>
    <w:rsid w:val="003A0BA2"/>
    <w:rsid w:val="003B5F30"/>
    <w:rsid w:val="00431641"/>
    <w:rsid w:val="00442BB5"/>
    <w:rsid w:val="00497ECD"/>
    <w:rsid w:val="004A42E7"/>
    <w:rsid w:val="004D002E"/>
    <w:rsid w:val="004E7DB7"/>
    <w:rsid w:val="00500AC9"/>
    <w:rsid w:val="005C2759"/>
    <w:rsid w:val="006D2F94"/>
    <w:rsid w:val="00717A88"/>
    <w:rsid w:val="00753134"/>
    <w:rsid w:val="00753BB0"/>
    <w:rsid w:val="00770F53"/>
    <w:rsid w:val="007D2584"/>
    <w:rsid w:val="008550A0"/>
    <w:rsid w:val="00860CD5"/>
    <w:rsid w:val="008C1ECB"/>
    <w:rsid w:val="008D0C6F"/>
    <w:rsid w:val="008D361B"/>
    <w:rsid w:val="008E4760"/>
    <w:rsid w:val="00903538"/>
    <w:rsid w:val="00981FAA"/>
    <w:rsid w:val="009D640F"/>
    <w:rsid w:val="00A1230F"/>
    <w:rsid w:val="00AE3545"/>
    <w:rsid w:val="00B36185"/>
    <w:rsid w:val="00B965DA"/>
    <w:rsid w:val="00BB4E6E"/>
    <w:rsid w:val="00BC4ACE"/>
    <w:rsid w:val="00BC62AF"/>
    <w:rsid w:val="00BD0704"/>
    <w:rsid w:val="00BD3E95"/>
    <w:rsid w:val="00BD520F"/>
    <w:rsid w:val="00C402FC"/>
    <w:rsid w:val="00C757C4"/>
    <w:rsid w:val="00C86BCA"/>
    <w:rsid w:val="00CA2F76"/>
    <w:rsid w:val="00D41F36"/>
    <w:rsid w:val="00DE67C7"/>
    <w:rsid w:val="00E02CB2"/>
    <w:rsid w:val="00E4402B"/>
    <w:rsid w:val="00E7056F"/>
    <w:rsid w:val="00E84581"/>
    <w:rsid w:val="00EF6594"/>
    <w:rsid w:val="00F10CA4"/>
    <w:rsid w:val="00F43AC1"/>
    <w:rsid w:val="00F96C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15:docId w15:val="{F808E4DB-F488-4901-90D0-500BB88F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ECB"/>
    <w:pPr>
      <w:spacing w:after="0" w:line="240" w:lineRule="auto"/>
    </w:pPr>
    <w:rPr>
      <w:rFonts w:ascii="Times New Roman" w:eastAsia="Times New Roman" w:hAnsi="Times New Roman" w:cs="Times New Roman"/>
      <w:sz w:val="24"/>
      <w:szCs w:val="24"/>
      <w:lang w:eastAsia="es-AR"/>
    </w:rPr>
  </w:style>
  <w:style w:type="paragraph" w:styleId="Ttulo1">
    <w:name w:val="heading 1"/>
    <w:basedOn w:val="Normal"/>
    <w:next w:val="Normal"/>
    <w:link w:val="Ttulo1Car"/>
    <w:qFormat/>
    <w:rsid w:val="008C1ECB"/>
    <w:pPr>
      <w:keepNext/>
      <w:outlineLvl w:val="0"/>
    </w:pPr>
    <w:rPr>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C1ECB"/>
    <w:rPr>
      <w:rFonts w:ascii="Times New Roman" w:eastAsia="Times New Roman" w:hAnsi="Times New Roman" w:cs="Times New Roman"/>
      <w:b/>
      <w:bCs/>
      <w:sz w:val="24"/>
      <w:szCs w:val="24"/>
      <w:lang w:val="es-ES" w:eastAsia="es-ES"/>
    </w:rPr>
  </w:style>
  <w:style w:type="paragraph" w:styleId="Textoindependiente">
    <w:name w:val="Body Text"/>
    <w:basedOn w:val="Normal"/>
    <w:link w:val="TextoindependienteCar"/>
    <w:rsid w:val="008C1ECB"/>
    <w:pPr>
      <w:jc w:val="center"/>
    </w:pPr>
    <w:rPr>
      <w:rFonts w:ascii="Comic Sans MS" w:hAnsi="Comic Sans MS"/>
      <w:b/>
      <w:bCs/>
      <w:lang w:val="es-ES" w:eastAsia="es-ES"/>
    </w:rPr>
  </w:style>
  <w:style w:type="character" w:customStyle="1" w:styleId="TextoindependienteCar">
    <w:name w:val="Texto independiente Car"/>
    <w:basedOn w:val="Fuentedeprrafopredeter"/>
    <w:link w:val="Textoindependiente"/>
    <w:rsid w:val="008C1ECB"/>
    <w:rPr>
      <w:rFonts w:ascii="Comic Sans MS" w:eastAsia="Times New Roman" w:hAnsi="Comic Sans MS" w:cs="Times New Roman"/>
      <w:b/>
      <w:bCs/>
      <w:sz w:val="24"/>
      <w:szCs w:val="24"/>
      <w:lang w:val="es-ES" w:eastAsia="es-ES"/>
    </w:rPr>
  </w:style>
  <w:style w:type="paragraph" w:styleId="Textonotapie">
    <w:name w:val="footnote text"/>
    <w:basedOn w:val="Normal"/>
    <w:link w:val="TextonotapieCar"/>
    <w:semiHidden/>
    <w:rsid w:val="008C1ECB"/>
    <w:rPr>
      <w:rFonts w:ascii="Humanst521 BT" w:hAnsi="Humanst521 BT"/>
      <w:sz w:val="20"/>
      <w:szCs w:val="20"/>
      <w:lang w:eastAsia="es-ES"/>
    </w:rPr>
  </w:style>
  <w:style w:type="character" w:customStyle="1" w:styleId="TextonotapieCar">
    <w:name w:val="Texto nota pie Car"/>
    <w:basedOn w:val="Fuentedeprrafopredeter"/>
    <w:link w:val="Textonotapie"/>
    <w:semiHidden/>
    <w:rsid w:val="008C1ECB"/>
    <w:rPr>
      <w:rFonts w:ascii="Humanst521 BT" w:eastAsia="Times New Roman" w:hAnsi="Humanst521 BT" w:cs="Times New Roman"/>
      <w:sz w:val="20"/>
      <w:szCs w:val="20"/>
      <w:lang w:eastAsia="es-ES"/>
    </w:rPr>
  </w:style>
  <w:style w:type="character" w:styleId="Refdenotaalpie">
    <w:name w:val="footnote reference"/>
    <w:basedOn w:val="Fuentedeprrafopredeter"/>
    <w:semiHidden/>
    <w:rsid w:val="008C1E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3174</Words>
  <Characters>17462</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maii</dc:creator>
  <cp:lastModifiedBy>zzzuru68@gmail.com</cp:lastModifiedBy>
  <cp:revision>2</cp:revision>
  <dcterms:created xsi:type="dcterms:W3CDTF">2020-03-26T15:47:00Z</dcterms:created>
  <dcterms:modified xsi:type="dcterms:W3CDTF">2020-03-26T15:47:00Z</dcterms:modified>
</cp:coreProperties>
</file>