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F74" w:rsidRPr="00053A2B" w:rsidRDefault="007B0F74" w:rsidP="00D46AE7">
      <w:pPr>
        <w:jc w:val="center"/>
        <w:rPr>
          <w:b/>
          <w:u w:val="single"/>
        </w:rPr>
      </w:pPr>
      <w:bookmarkStart w:id="0" w:name="_GoBack"/>
      <w:bookmarkEnd w:id="0"/>
      <w:r w:rsidRPr="00053A2B">
        <w:rPr>
          <w:b/>
          <w:u w:val="single"/>
        </w:rPr>
        <w:t>Comentario introductorio</w:t>
      </w:r>
      <w:r w:rsidR="0097575D" w:rsidRPr="00053A2B">
        <w:rPr>
          <w:b/>
          <w:u w:val="single"/>
        </w:rPr>
        <w:t>:</w:t>
      </w:r>
      <w:r w:rsidR="005069C9" w:rsidRPr="00053A2B">
        <w:rPr>
          <w:b/>
          <w:u w:val="single"/>
        </w:rPr>
        <w:t xml:space="preserve"> acerca de la construcción de un enfoque articulador en ciudadanía. Niveles y perspectivas.</w:t>
      </w:r>
    </w:p>
    <w:p w:rsidR="00E15CED" w:rsidRDefault="00E15CED" w:rsidP="00D46AE7">
      <w:pPr>
        <w:jc w:val="center"/>
      </w:pPr>
    </w:p>
    <w:p w:rsidR="0097575D" w:rsidRDefault="0097575D" w:rsidP="007B0F74">
      <w:pPr>
        <w:jc w:val="both"/>
      </w:pPr>
    </w:p>
    <w:p w:rsidR="00B67C84" w:rsidRDefault="0097575D" w:rsidP="007B0F74">
      <w:pPr>
        <w:jc w:val="both"/>
      </w:pPr>
      <w:r>
        <w:t>En nuestra propuesta de Ciudadanía, l</w:t>
      </w:r>
      <w:r w:rsidR="00FB5E9C">
        <w:t xml:space="preserve">as consideraciones pedagógicas y teóricas se articulan </w:t>
      </w:r>
      <w:r>
        <w:t xml:space="preserve">a partir de </w:t>
      </w:r>
      <w:r w:rsidR="00FB5E9C">
        <w:t>3 niveles</w:t>
      </w:r>
      <w:r>
        <w:t xml:space="preserve"> interrelacionados</w:t>
      </w:r>
      <w:r w:rsidR="00FB5E9C">
        <w:t>, entre los que se produce un ida y vuelta constante en función del problema abordado.</w:t>
      </w:r>
      <w:r w:rsidR="00D378EE">
        <w:t xml:space="preserve"> Éstos son:</w:t>
      </w:r>
    </w:p>
    <w:p w:rsidR="005069C9" w:rsidRDefault="00D378EE" w:rsidP="007B0F74">
      <w:pPr>
        <w:jc w:val="both"/>
      </w:pPr>
      <w:r>
        <w:t xml:space="preserve"> </w:t>
      </w:r>
      <w:r w:rsidR="00B67C84">
        <w:t>1.-</w:t>
      </w:r>
      <w:r w:rsidR="003C4C3E">
        <w:t xml:space="preserve"> </w:t>
      </w:r>
      <w:r w:rsidR="00B67C84">
        <w:rPr>
          <w:b/>
        </w:rPr>
        <w:t xml:space="preserve">Una perspectiva didáctica centrada en prácticas de la enseñanza entendidas como prácticas sociales históricamente determinadas, </w:t>
      </w:r>
      <w:r w:rsidR="00B67C84">
        <w:t xml:space="preserve">tal como las conceptualiza Gloria </w:t>
      </w:r>
      <w:proofErr w:type="spellStart"/>
      <w:r w:rsidR="00B67C84">
        <w:t>Edelstein</w:t>
      </w:r>
      <w:proofErr w:type="spellEnd"/>
      <w:r w:rsidR="00B67C84">
        <w:t xml:space="preserve"> (2002).</w:t>
      </w:r>
      <w:r w:rsidR="005069C9">
        <w:t xml:space="preserve"> Desde nuestra postura didáctica sostenemos que el conocimiento puede ser modificado por la acción y viceversa en un trabajo productivo donde el sujeto cumple un papel fundamental dentro de un enfoque dinámico.</w:t>
      </w:r>
      <w:r w:rsidR="007205F4">
        <w:t xml:space="preserve"> Buscamos trascender oposiciones entre aspectos internos (dimensiones subjetivas e ideas) y externos (tales como los fenómenos sociales y materiales). Existe, en esta concepción holística del conocimiento, una interdependencia entre lo social, lo individual y lo material. Ello presupone un vínculo profundo y una tensión entre el conocimiento y la experiencia histórica de los sujetos.</w:t>
      </w:r>
    </w:p>
    <w:p w:rsidR="00B67C84" w:rsidRDefault="00B67C84" w:rsidP="007B0F74">
      <w:pPr>
        <w:jc w:val="both"/>
      </w:pPr>
      <w:r>
        <w:t xml:space="preserve">2.- </w:t>
      </w:r>
      <w:r>
        <w:rPr>
          <w:b/>
        </w:rPr>
        <w:t>La explicitación de un enfoque relacional de fuerte perspectiva antropológica</w:t>
      </w:r>
      <w:r>
        <w:t xml:space="preserve">, que reconoce explícitamente los aportes de antropólogos – formadores – docentes – investigadores como </w:t>
      </w:r>
      <w:r w:rsidR="003C4C3E">
        <w:t xml:space="preserve">Eduardo Menéndez, María Rosa </w:t>
      </w:r>
      <w:proofErr w:type="spellStart"/>
      <w:r w:rsidR="003C4C3E">
        <w:t>Neufeld</w:t>
      </w:r>
      <w:proofErr w:type="spellEnd"/>
      <w:r w:rsidR="003C4C3E">
        <w:t xml:space="preserve">, </w:t>
      </w:r>
      <w:r>
        <w:t xml:space="preserve">Elena </w:t>
      </w:r>
      <w:proofErr w:type="spellStart"/>
      <w:r>
        <w:t>Achilli</w:t>
      </w:r>
      <w:proofErr w:type="spellEnd"/>
      <w:r>
        <w:t xml:space="preserve">, </w:t>
      </w:r>
      <w:proofErr w:type="spellStart"/>
      <w:r>
        <w:t>Elsie</w:t>
      </w:r>
      <w:proofErr w:type="spellEnd"/>
      <w:r>
        <w:t xml:space="preserve"> Rockwell, Justa </w:t>
      </w:r>
      <w:proofErr w:type="spellStart"/>
      <w:r>
        <w:t>Ezpeleta</w:t>
      </w:r>
      <w:proofErr w:type="spellEnd"/>
      <w:r>
        <w:t>,</w:t>
      </w:r>
      <w:r w:rsidR="003C4C3E">
        <w:t xml:space="preserve"> Paula Montesinos,</w:t>
      </w:r>
      <w:r>
        <w:t xml:space="preserve"> Liliana </w:t>
      </w:r>
      <w:proofErr w:type="spellStart"/>
      <w:r>
        <w:t>Sinisi</w:t>
      </w:r>
      <w:proofErr w:type="spellEnd"/>
      <w:r>
        <w:t xml:space="preserve">, Laura </w:t>
      </w:r>
      <w:proofErr w:type="spellStart"/>
      <w:r>
        <w:t>Cerletti</w:t>
      </w:r>
      <w:proofErr w:type="spellEnd"/>
      <w:r>
        <w:t>, Maximiliano Rúa</w:t>
      </w:r>
      <w:r w:rsidR="003C4C3E">
        <w:t>, entre otros.</w:t>
      </w:r>
    </w:p>
    <w:p w:rsidR="007B0F74" w:rsidRDefault="003C4C3E" w:rsidP="00E65C70">
      <w:pPr>
        <w:jc w:val="both"/>
      </w:pPr>
      <w:r>
        <w:t xml:space="preserve">3.-  </w:t>
      </w:r>
      <w:r>
        <w:rPr>
          <w:b/>
        </w:rPr>
        <w:t xml:space="preserve">La articulación de los niveles anteriores, a partir de la delimitación de núcleos problemáticos específicos </w:t>
      </w:r>
      <w:r>
        <w:t>(con contenidos, preguntas y anticipaciones de sentido propuestos p</w:t>
      </w:r>
      <w:r w:rsidR="000E510D">
        <w:t>or los autores de los capítulos). E</w:t>
      </w:r>
      <w:r>
        <w:t>ste nive</w:t>
      </w:r>
      <w:r w:rsidR="000E510D">
        <w:t>l está</w:t>
      </w:r>
      <w:r>
        <w:t xml:space="preserve"> centrado en los conceptos articuladores de los núcleos</w:t>
      </w:r>
      <w:r w:rsidR="000E510D">
        <w:t xml:space="preserve"> particulares: Normas, Derechos, Estado, Gobierno, Participación, Identidad. Aquí, la idea es generar consensos básicos y acuerdos teóricos para brindar al docente criterios para el abordaje de los contenidos en el aula.</w:t>
      </w:r>
      <w:r w:rsidR="00111643">
        <w:t xml:space="preserve"> De todas manera</w:t>
      </w:r>
      <w:r w:rsidR="007205F4">
        <w:t>s, a modo de ejemplo, presentaremos</w:t>
      </w:r>
      <w:r w:rsidR="00111643">
        <w:t xml:space="preserve"> el abordaje de d</w:t>
      </w:r>
      <w:r w:rsidR="007205F4">
        <w:t>istintos conceptos como “cultura”,</w:t>
      </w:r>
      <w:r w:rsidR="00111643">
        <w:t xml:space="preserve"> “estado”,</w:t>
      </w:r>
      <w:r w:rsidR="007205F4">
        <w:t xml:space="preserve"> “identidad”, etc.;</w:t>
      </w:r>
      <w:r w:rsidR="00111643">
        <w:t xml:space="preserve"> con preguntas </w:t>
      </w:r>
      <w:proofErr w:type="gramStart"/>
      <w:r w:rsidR="00111643">
        <w:t>planteadas</w:t>
      </w:r>
      <w:proofErr w:type="gramEnd"/>
      <w:r w:rsidR="00111643">
        <w:t xml:space="preserve"> por un enfoque relacional.</w:t>
      </w:r>
    </w:p>
    <w:p w:rsidR="007B0F74" w:rsidRDefault="007B0F74" w:rsidP="00D46AE7">
      <w:pPr>
        <w:jc w:val="center"/>
      </w:pPr>
    </w:p>
    <w:p w:rsidR="00345920" w:rsidRPr="00053A2B" w:rsidRDefault="00D46AE7" w:rsidP="00D46AE7">
      <w:pPr>
        <w:jc w:val="center"/>
        <w:rPr>
          <w:b/>
          <w:u w:val="single"/>
        </w:rPr>
      </w:pPr>
      <w:r w:rsidRPr="00053A2B">
        <w:rPr>
          <w:b/>
          <w:u w:val="single"/>
        </w:rPr>
        <w:t>Orientaciones teóricas para el docente</w:t>
      </w:r>
      <w:r w:rsidR="00CE28CA" w:rsidRPr="00053A2B">
        <w:rPr>
          <w:b/>
          <w:u w:val="single"/>
        </w:rPr>
        <w:t>. Una pedagogía basada en problemas.</w:t>
      </w:r>
    </w:p>
    <w:p w:rsidR="00690FD8" w:rsidRDefault="00690FD8" w:rsidP="00D46AE7">
      <w:pPr>
        <w:jc w:val="center"/>
      </w:pPr>
    </w:p>
    <w:p w:rsidR="00E65C70" w:rsidRDefault="00690FD8" w:rsidP="00690FD8">
      <w:pPr>
        <w:jc w:val="both"/>
      </w:pPr>
      <w:r>
        <w:t xml:space="preserve">La propuesta busca acercarse a concepciones relacionales que ponen en discusión los aportes de distintas </w:t>
      </w:r>
      <w:r w:rsidR="00640788">
        <w:t>disciplinas.</w:t>
      </w:r>
    </w:p>
    <w:p w:rsidR="00B3334F" w:rsidRPr="00E65C70" w:rsidRDefault="00E65C70" w:rsidP="00690FD8">
      <w:pPr>
        <w:jc w:val="both"/>
        <w:rPr>
          <w:i/>
        </w:rPr>
      </w:pPr>
      <w:r>
        <w:t xml:space="preserve">Edgard </w:t>
      </w:r>
      <w:proofErr w:type="spellStart"/>
      <w:r>
        <w:t>Morin</w:t>
      </w:r>
      <w:proofErr w:type="spellEnd"/>
      <w:r>
        <w:t xml:space="preserve"> (1998) con su noción de “</w:t>
      </w:r>
      <w:proofErr w:type="spellStart"/>
      <w:r>
        <w:t>religazón</w:t>
      </w:r>
      <w:proofErr w:type="spellEnd"/>
      <w:r>
        <w:t>”</w:t>
      </w:r>
      <w:r w:rsidR="00B3334F">
        <w:t xml:space="preserve"> proponía articular un pensamiento complejo en el sentido de “un pensamiento que relaciona”</w:t>
      </w:r>
      <w:r w:rsidR="00D201E1">
        <w:t xml:space="preserve"> para lograr que los esquemas cognitivos atraviesen las disciplinas en un recorrido que va “de las partes al todo y del todo a las partes”</w:t>
      </w:r>
      <w:r w:rsidR="00B3334F">
        <w:t>.</w:t>
      </w:r>
      <w:r w:rsidR="00A13B26">
        <w:t xml:space="preserve"> La integración es así más que la suma de las partes.</w:t>
      </w:r>
      <w:r w:rsidR="00B3334F">
        <w:t xml:space="preserve"> </w:t>
      </w:r>
      <w:r w:rsidR="00DB2E84" w:rsidRPr="00E65C70">
        <w:rPr>
          <w:i/>
        </w:rPr>
        <w:t>En este itinerario</w:t>
      </w:r>
      <w:r w:rsidR="00D201E1" w:rsidRPr="00E65C70">
        <w:rPr>
          <w:i/>
        </w:rPr>
        <w:t xml:space="preserve"> rescata la reflexión, la complejidad</w:t>
      </w:r>
      <w:r w:rsidR="00DB2E84" w:rsidRPr="00E65C70">
        <w:rPr>
          <w:i/>
        </w:rPr>
        <w:t xml:space="preserve">, la contextualización del conocimiento </w:t>
      </w:r>
      <w:r w:rsidR="00D201E1" w:rsidRPr="00E65C70">
        <w:rPr>
          <w:i/>
        </w:rPr>
        <w:t>y la importancia de retomar la noción de sujeto.</w:t>
      </w:r>
    </w:p>
    <w:p w:rsidR="007A0555" w:rsidRDefault="00B3334F" w:rsidP="00690FD8">
      <w:pPr>
        <w:jc w:val="both"/>
      </w:pPr>
      <w:r>
        <w:t>Dicha articulación disciplinaria</w:t>
      </w:r>
      <w:r w:rsidR="007A0555">
        <w:t xml:space="preserve"> nos invita a un diálogo crítico –siempre complejo y no exento de tensiones- entre preguntas y problemas de la Filosofía, el Derecho, la Educación, la Economía, las Ciencias Políticas, la Antropología y la Historia, entre otras. La finalidad de este esfuerzo </w:t>
      </w:r>
      <w:r w:rsidR="007A0555">
        <w:lastRenderedPageBreak/>
        <w:t>apunta a ir delimitando campos o núcleos problemáticos</w:t>
      </w:r>
      <w:r w:rsidR="00640788">
        <w:rPr>
          <w:rStyle w:val="Refdenotaalpie"/>
        </w:rPr>
        <w:footnoteReference w:id="1"/>
      </w:r>
      <w:r w:rsidR="007A0555">
        <w:t xml:space="preserve"> que serán abordados en las aulas a partir de distintas estrategias y recurso</w:t>
      </w:r>
      <w:r w:rsidR="00C165A5">
        <w:t>s.</w:t>
      </w:r>
    </w:p>
    <w:p w:rsidR="00D6264D" w:rsidRDefault="00D6264D" w:rsidP="00690FD8">
      <w:pPr>
        <w:jc w:val="both"/>
      </w:pPr>
      <w:r>
        <w:t>Generar un “proceso de construcción</w:t>
      </w:r>
      <w:r w:rsidR="008F1B25">
        <w:t xml:space="preserve"> de un problema a enseñar” (</w:t>
      </w:r>
      <w:proofErr w:type="spellStart"/>
      <w:r w:rsidR="008F1B25">
        <w:t>Achilli</w:t>
      </w:r>
      <w:proofErr w:type="spellEnd"/>
      <w:r w:rsidR="008F1B25">
        <w:t>, 2000) implica un</w:t>
      </w:r>
      <w:r w:rsidR="00E438D7">
        <w:t xml:space="preserve">a </w:t>
      </w:r>
      <w:r w:rsidR="008F1B25">
        <w:t>selección y jerarquización de temas – contenidos para trabajar en el aula y su organización en modalidades secuenciales que permitan acercar los conceptos de las distintas disciplinas y los pongan en juego en el abordaje de distintos niveles de la realidad social cotidiana.</w:t>
      </w:r>
    </w:p>
    <w:p w:rsidR="006E2ADE" w:rsidRDefault="00AF070A" w:rsidP="00690FD8">
      <w:pPr>
        <w:jc w:val="both"/>
      </w:pPr>
      <w:r>
        <w:t>Pensar y d</w:t>
      </w:r>
      <w:r w:rsidR="00C267B3">
        <w:t>iseñar un</w:t>
      </w:r>
      <w:r>
        <w:t xml:space="preserve"> libro</w:t>
      </w:r>
      <w:r w:rsidR="00C267B3">
        <w:t xml:space="preserve"> con estas características </w:t>
      </w:r>
      <w:r w:rsidR="00BA3D70">
        <w:t>apunta a</w:t>
      </w:r>
      <w:r w:rsidR="00C267B3">
        <w:t xml:space="preserve"> una apuesta pedagógica</w:t>
      </w:r>
      <w:r>
        <w:t xml:space="preserve"> en torno a la valoración del sujeto que aprende como productor de conocimiento en función de sus trayectorias vitales e historias personales</w:t>
      </w:r>
      <w:r w:rsidR="00C267B3">
        <w:t xml:space="preserve">. </w:t>
      </w:r>
      <w:r w:rsidR="008F1B25">
        <w:t>Esta construcción procesual se apoya en el protagonismo de los estudiantes</w:t>
      </w:r>
      <w:r w:rsidR="00C267B3">
        <w:t>, a quienes invitamos a que se sumerjan en la propuesta y utilicen el material como un portfolio que refleje sus propias producciones; con sus dudas, intereses, cuestionamientos e hipótesis. Tenemos en mente un “sujeto activo y creativo”, capaz de “apropiarse”</w:t>
      </w:r>
      <w:r w:rsidR="00451816">
        <w:rPr>
          <w:rStyle w:val="Refdenotaalpie"/>
        </w:rPr>
        <w:footnoteReference w:id="2"/>
      </w:r>
      <w:r w:rsidR="00C267B3">
        <w:t xml:space="preserve"> de los problemas planteados para generar sus preguntas en un recorrido único y personal, en íntima relación con sus intereses particulares.</w:t>
      </w:r>
      <w:r w:rsidR="00266BD1">
        <w:t xml:space="preserve"> </w:t>
      </w:r>
    </w:p>
    <w:p w:rsidR="00326EE2" w:rsidRDefault="00C83604" w:rsidP="00690FD8">
      <w:pPr>
        <w:jc w:val="both"/>
      </w:pPr>
      <w:r>
        <w:t>Los conceptos articuladores centrales de nuestra propuesta de Ciudadanía serán pensados en relación a problemas particulares, contextualizados históricamente “</w:t>
      </w:r>
      <w:r w:rsidR="00326EE2">
        <w:t>como un conjunto de relaciones temporal y espacialmente cambiantes y cambiables, o de relaciones entre conjuntos de relaciones” (Wolf, 1982). Las propias nociones de Nación, Estado, Democracia o inclusive la idea de Participación responden a este encuadre. A modo de ejemplo, si pensamos justamente en la participación, corresponde pensarla como un proceso que se desenvuelve en determinados marcos de acción que no siempre están definidos de antemano y que incluyen –en no pocas ocasiones- disputas por sentidos y valores que implican una revisión crítica de intereses e intenciones por parte de los mismos sujetos.</w:t>
      </w:r>
    </w:p>
    <w:p w:rsidR="000E73FB" w:rsidRDefault="000E73FB" w:rsidP="00690FD8">
      <w:pPr>
        <w:jc w:val="both"/>
      </w:pPr>
    </w:p>
    <w:p w:rsidR="00240EBE" w:rsidRDefault="00326EE2" w:rsidP="00690FD8">
      <w:pPr>
        <w:jc w:val="both"/>
      </w:pPr>
      <w:r>
        <w:t>En relación al punto de vista del docente</w:t>
      </w:r>
      <w:r w:rsidR="000E4C06">
        <w:t>,</w:t>
      </w:r>
      <w:r w:rsidR="006C1B5E">
        <w:t xml:space="preserve"> quién constituye el</w:t>
      </w:r>
      <w:r w:rsidR="000E73FB">
        <w:t xml:space="preserve"> actor</w:t>
      </w:r>
      <w:r w:rsidR="006C1B5E">
        <w:t xml:space="preserve"> esencial en la articulación de nuestra propuesta de trabajo, </w:t>
      </w:r>
      <w:r w:rsidR="000E4C06">
        <w:t xml:space="preserve">utilizamos la noción de “Prácticas de la Enseñanza” de </w:t>
      </w:r>
      <w:proofErr w:type="spellStart"/>
      <w:r w:rsidR="000E4C06">
        <w:t>Edelstein</w:t>
      </w:r>
      <w:proofErr w:type="spellEnd"/>
      <w:r w:rsidR="000E4C06">
        <w:t xml:space="preserve"> (2002), en tanto proceso de transmisión de contenidos culturales que se han legitimado en el currículum y que pone</w:t>
      </w:r>
      <w:r w:rsidR="003C38B5">
        <w:t xml:space="preserve"> –como dijimos- </w:t>
      </w:r>
      <w:r w:rsidR="000E4C06">
        <w:t xml:space="preserve"> el foco en la apropiación de los contenidos por parte de los estudiantes. En tanto práctica social expresa conflictos y contradicciones</w:t>
      </w:r>
      <w:r w:rsidR="001E42D3">
        <w:t>.</w:t>
      </w:r>
      <w:r w:rsidR="000E4C06">
        <w:t xml:space="preserve"> En esta perspectiva una buena clase no es sólo aquella con muchos recursos o actividades dirigidas por el docente,</w:t>
      </w:r>
      <w:r w:rsidR="001E42D3">
        <w:t xml:space="preserve"> donde el alumno sólo reproduce lo pedido (crítica a ciertos enfoques sobre dinamismo)</w:t>
      </w:r>
      <w:r w:rsidR="000E4C06">
        <w:t xml:space="preserve"> sino un espacio que permite la reflexión con el otro</w:t>
      </w:r>
      <w:r w:rsidR="001E42D3">
        <w:t xml:space="preserve"> y la </w:t>
      </w:r>
      <w:r w:rsidR="003C38B5">
        <w:t>construcción de nuevo</w:t>
      </w:r>
      <w:r w:rsidR="001E42D3">
        <w:t xml:space="preserve"> conocimiento.</w:t>
      </w:r>
    </w:p>
    <w:p w:rsidR="00AF070A" w:rsidRDefault="000A3ECC" w:rsidP="00690FD8">
      <w:pPr>
        <w:jc w:val="both"/>
      </w:pPr>
      <w:r>
        <w:t xml:space="preserve">Finalmente, </w:t>
      </w:r>
      <w:r w:rsidR="00240EBE">
        <w:t>val</w:t>
      </w:r>
      <w:r w:rsidR="00AF070A">
        <w:t>e asumir la premisa de que la enseñanza no se construye en abstracto, sino que se trata de un proceso “situado”</w:t>
      </w:r>
      <w:r w:rsidR="00EA2CC5">
        <w:t xml:space="preserve"> que se desenvuelve</w:t>
      </w:r>
      <w:r w:rsidR="00AF070A">
        <w:t xml:space="preserve"> en un contexto determinado, siempre único y particular.</w:t>
      </w:r>
      <w:r w:rsidR="001E42D3">
        <w:t xml:space="preserve"> El docente debe captar las lógicas del otro, permitir el tiempo del otro y el devenir de la palabra.</w:t>
      </w:r>
      <w:r w:rsidR="00266BD1">
        <w:t xml:space="preserve"> </w:t>
      </w:r>
      <w:proofErr w:type="spellStart"/>
      <w:r w:rsidR="00B913F2">
        <w:t>Achilli</w:t>
      </w:r>
      <w:proofErr w:type="spellEnd"/>
      <w:r w:rsidR="00B913F2">
        <w:t xml:space="preserve"> (2016) hace especial hincapié en los aspectos intersubjetivos puestos en juego en los procesos de enseñanza y aprendizajes, donde se pone en juego la circulación de conocimientos en una multiplicidad de situaciones tanto implícitas como explícitas.</w:t>
      </w:r>
    </w:p>
    <w:p w:rsidR="00E15CED" w:rsidRDefault="00AF070A" w:rsidP="006C1B5E">
      <w:pPr>
        <w:jc w:val="both"/>
      </w:pPr>
      <w:r>
        <w:t>Poner el foco en la enseñanza situada supone necesariamente alejarse de las recetas preestablecidas tendientes a configurar las prácticas en e</w:t>
      </w:r>
      <w:r w:rsidR="00300670">
        <w:t xml:space="preserve">l aula; sin renunciar –de todas maneras- a ofrecer marcos conceptuales y metodológicos que apunten a la generación de </w:t>
      </w:r>
      <w:r w:rsidR="00300670">
        <w:lastRenderedPageBreak/>
        <w:t xml:space="preserve">posibles abordajes y preguntas en torno a diversos problemas. El conocimiento se construye y circula entre docentes y alumnos y entre los propios estudiantes en una interacción y </w:t>
      </w:r>
      <w:proofErr w:type="spellStart"/>
      <w:r w:rsidR="00300670">
        <w:t>co</w:t>
      </w:r>
      <w:proofErr w:type="spellEnd"/>
      <w:r w:rsidR="00300670">
        <w:t>-construcción abierta, sujeta a los más diversos aportes no sólo de las disciplinas sino también de la vida cotidiana y la realidad del entorno comunitario.</w:t>
      </w:r>
      <w:r w:rsidR="00266BD1">
        <w:t xml:space="preserve"> D</w:t>
      </w:r>
      <w:r w:rsidR="00E72DD1">
        <w:t xml:space="preserve">ebiéramos hablar de una nueva posición ética que explora el proceso mismo de conocer, el sujeto cognoscente y la red social en la cual este conocimiento está distribuido. </w:t>
      </w:r>
      <w:r w:rsidR="00CA2241">
        <w:rPr>
          <w:rStyle w:val="Refdenotaalpie"/>
        </w:rPr>
        <w:footnoteReference w:id="3"/>
      </w:r>
    </w:p>
    <w:p w:rsidR="006C1B5E" w:rsidRDefault="006C1B5E" w:rsidP="006C1B5E">
      <w:pPr>
        <w:jc w:val="both"/>
      </w:pPr>
    </w:p>
    <w:p w:rsidR="00D46AE7" w:rsidRDefault="00D46AE7" w:rsidP="00D46AE7">
      <w:pPr>
        <w:jc w:val="center"/>
      </w:pPr>
    </w:p>
    <w:p w:rsidR="005A57C1" w:rsidRDefault="005A57C1" w:rsidP="009A4393">
      <w:pPr>
        <w:jc w:val="center"/>
        <w:rPr>
          <w:b/>
          <w:u w:val="single"/>
        </w:rPr>
      </w:pPr>
      <w:r w:rsidRPr="005A57C1">
        <w:rPr>
          <w:b/>
          <w:u w:val="single"/>
        </w:rPr>
        <w:t>Ideas articuladoras de un Enfoque relacional:</w:t>
      </w:r>
    </w:p>
    <w:p w:rsidR="00D6264D" w:rsidRDefault="00D6264D" w:rsidP="005A57C1">
      <w:pPr>
        <w:jc w:val="both"/>
        <w:rPr>
          <w:b/>
          <w:u w:val="single"/>
        </w:rPr>
      </w:pPr>
    </w:p>
    <w:p w:rsidR="0044643C" w:rsidRDefault="009A4393" w:rsidP="005A57C1">
      <w:pPr>
        <w:jc w:val="both"/>
      </w:pPr>
      <w:r>
        <w:t>Es importante una c</w:t>
      </w:r>
      <w:r w:rsidR="0044643C">
        <w:t>onsideración general de cómo funciona la vida en sociedad</w:t>
      </w:r>
      <w:r w:rsidR="006C1B5E">
        <w:t xml:space="preserve">. </w:t>
      </w:r>
      <w:r w:rsidR="0044643C">
        <w:t>Cuando formulamos o seleccionamos determinados problemas sociales para trabajar en el aula se abren interrogantes y posibles alternativas de abordaje o posibles propuestas de resolución de los mismos. Ello implica tomar decisiones teórico – metodológicas.</w:t>
      </w:r>
    </w:p>
    <w:p w:rsidR="00F57065" w:rsidRDefault="00F57065" w:rsidP="005A57C1">
      <w:pPr>
        <w:jc w:val="both"/>
      </w:pPr>
      <w:r>
        <w:t xml:space="preserve">Desde un enfoque relacional el mundo social no aparece definido apriorísticamente, en tanto realidad dada y constituida sino que se define procesualmente a través de movimientos y conflictos, que se desenvuelven siempre en contextos </w:t>
      </w:r>
      <w:proofErr w:type="spellStart"/>
      <w:r>
        <w:t>sociohistóricos</w:t>
      </w:r>
      <w:proofErr w:type="spellEnd"/>
      <w:r>
        <w:t xml:space="preserve"> complejos.</w:t>
      </w:r>
    </w:p>
    <w:p w:rsidR="00890C4A" w:rsidRDefault="00890C4A" w:rsidP="005A57C1">
      <w:pPr>
        <w:jc w:val="both"/>
      </w:pPr>
    </w:p>
    <w:p w:rsidR="00F57065" w:rsidRDefault="00F57065" w:rsidP="005A57C1">
      <w:pPr>
        <w:jc w:val="both"/>
      </w:pPr>
      <w:r>
        <w:t>Partir de un enfoque relacional supone:</w:t>
      </w:r>
    </w:p>
    <w:p w:rsidR="00890C4A" w:rsidRPr="0044643C" w:rsidRDefault="00890C4A" w:rsidP="005A57C1">
      <w:pPr>
        <w:jc w:val="both"/>
      </w:pPr>
    </w:p>
    <w:p w:rsidR="005A57C1" w:rsidRDefault="005A57C1" w:rsidP="00786D56">
      <w:pPr>
        <w:pStyle w:val="Sinespaciado"/>
        <w:numPr>
          <w:ilvl w:val="0"/>
          <w:numId w:val="1"/>
        </w:numPr>
        <w:jc w:val="both"/>
      </w:pPr>
      <w:r>
        <w:t>No delimitar enfoques disciplinares que fragmenten los procesos históricos y la</w:t>
      </w:r>
      <w:r w:rsidR="004100AC">
        <w:t>s relaciones entre los sujetos.</w:t>
      </w:r>
      <w:r>
        <w:t xml:space="preserve"> El mundo social es un todo complejo e interdependiente (visión holística antropológica).</w:t>
      </w:r>
      <w:r w:rsidR="0057217D">
        <w:t xml:space="preserve"> Existen autores como el mencionado Eric Wolf (1982) quién define un enfoque “relacional dialéctico” que supone estudiar históricamente procesos más allá de casos aislados. Historicidad que implica movimiento, conflicto y transformación por encima de la aparente estabilidad y equilibrio de las estructuras económicas y sociales. </w:t>
      </w:r>
    </w:p>
    <w:p w:rsidR="0083646E" w:rsidRDefault="0083646E" w:rsidP="0083646E">
      <w:pPr>
        <w:pStyle w:val="Sinespaciado"/>
        <w:ind w:left="720"/>
        <w:jc w:val="both"/>
      </w:pPr>
    </w:p>
    <w:p w:rsidR="00B42790" w:rsidRDefault="000E73FB" w:rsidP="005A57C1">
      <w:pPr>
        <w:pStyle w:val="Sinespaciado"/>
        <w:numPr>
          <w:ilvl w:val="0"/>
          <w:numId w:val="1"/>
        </w:numPr>
        <w:jc w:val="both"/>
      </w:pPr>
      <w:r>
        <w:t>R</w:t>
      </w:r>
      <w:r w:rsidR="004100AC">
        <w:t xml:space="preserve">escatar </w:t>
      </w:r>
      <w:r w:rsidR="00B42790">
        <w:t>la idea de sujeto</w:t>
      </w:r>
      <w:r w:rsidR="004100AC">
        <w:t xml:space="preserve"> activo y transformador de la realidad social; dicha postura</w:t>
      </w:r>
      <w:r w:rsidR="00B42790">
        <w:t xml:space="preserve"> se inscribe en una profunda crítica a las perspectivas y teorías basadas en el actor.</w:t>
      </w:r>
      <w:r w:rsidR="00A652E2">
        <w:t xml:space="preserve"> </w:t>
      </w:r>
      <w:r w:rsidR="004100AC">
        <w:t>La misma –muy habitual en la propuesta editorial-</w:t>
      </w:r>
      <w:r w:rsidR="004009F7">
        <w:t xml:space="preserve"> implica</w:t>
      </w:r>
      <w:r w:rsidR="004100AC">
        <w:t xml:space="preserve"> generalmente</w:t>
      </w:r>
      <w:r w:rsidR="004009F7">
        <w:t xml:space="preserve"> una homogeneización de los distintos sujetos, desembocando </w:t>
      </w:r>
      <w:r w:rsidR="004100AC">
        <w:t>e</w:t>
      </w:r>
      <w:r w:rsidR="004009F7">
        <w:t xml:space="preserve">n concepciones esencialistas y </w:t>
      </w:r>
      <w:proofErr w:type="spellStart"/>
      <w:r w:rsidR="004009F7">
        <w:t>arrelacionales</w:t>
      </w:r>
      <w:proofErr w:type="spellEnd"/>
      <w:r w:rsidR="004009F7">
        <w:t xml:space="preserve">: determinados actores tienen ciertas posturas comunes frente a cierto problema. Así, incluso la comunidad o el grupo son </w:t>
      </w:r>
      <w:proofErr w:type="spellStart"/>
      <w:r w:rsidR="004009F7">
        <w:t>reificados</w:t>
      </w:r>
      <w:proofErr w:type="spellEnd"/>
      <w:r w:rsidR="004009F7">
        <w:t xml:space="preserve"> como el “punto de vista del actor”, quienes en la interacción social asumen roles predeterminados</w:t>
      </w:r>
      <w:r w:rsidR="00381C98">
        <w:rPr>
          <w:rStyle w:val="Refdenotaalpie"/>
        </w:rPr>
        <w:footnoteReference w:id="4"/>
      </w:r>
      <w:r w:rsidR="004009F7">
        <w:t>. Por ello, desde una perspectiva relacional, preferimos dejar de lado el concepto de rol y hablar de identidad.</w:t>
      </w:r>
    </w:p>
    <w:p w:rsidR="004009F7" w:rsidRDefault="00A001C0" w:rsidP="004009F7">
      <w:pPr>
        <w:pStyle w:val="Sinespaciado"/>
        <w:ind w:left="708"/>
        <w:jc w:val="both"/>
      </w:pPr>
      <w:r>
        <w:t xml:space="preserve">Si bien es necesario no descuidar en los análisis </w:t>
      </w:r>
      <w:r w:rsidR="00EF7FE1">
        <w:t xml:space="preserve">a los sujetos y grupos particulares </w:t>
      </w:r>
      <w:r>
        <w:t>con su agencia y construcción de sentidos sociales, m</w:t>
      </w:r>
      <w:r w:rsidR="004009F7">
        <w:t>uchas veces existen ciertos problemas que son imperceptibles para los propios actores (violencia, desigualdad, enfermedades, falta de acceso a bienes y servicios). Por ello se debe entender</w:t>
      </w:r>
      <w:r w:rsidR="005A55B9">
        <w:t xml:space="preserve"> la realidad social como un problema. Nos acercamos a la “realidad” planteando preguntas e hipótesis. Las </w:t>
      </w:r>
      <w:r w:rsidR="005A55B9">
        <w:lastRenderedPageBreak/>
        <w:t>preguntas adecuadas acotan y circunscriben esa complejidad. Esto difiere radicalmente de</w:t>
      </w:r>
      <w:r>
        <w:t xml:space="preserve"> las visiones estrechamente focalizadas en el</w:t>
      </w:r>
      <w:r w:rsidR="005A55B9">
        <w:t xml:space="preserve"> punto de vista del actor, donde es el propio sujet</w:t>
      </w:r>
      <w:r w:rsidR="00381C98">
        <w:t>o quien nos marca los problemas (Menéndez, 2002).</w:t>
      </w:r>
    </w:p>
    <w:p w:rsidR="00381C98" w:rsidRDefault="00381C98" w:rsidP="004009F7">
      <w:pPr>
        <w:pStyle w:val="Sinespaciado"/>
        <w:ind w:left="708"/>
        <w:jc w:val="both"/>
      </w:pPr>
      <w:r>
        <w:t>Reducir la descripción y el análisis al punto de vista del actor tiende a ignorar por un lado los puntos de vista de otros actores con los cuáles se relaciona y, por el otro, las condiciones objetivas y estructurales que existen independientemente de la conciencia de los actores sociales.</w:t>
      </w:r>
    </w:p>
    <w:p w:rsidR="004100AC" w:rsidRDefault="00381C98" w:rsidP="004100AC">
      <w:pPr>
        <w:pStyle w:val="Sinespaciado"/>
        <w:ind w:left="708"/>
        <w:jc w:val="both"/>
      </w:pPr>
      <w:r>
        <w:t>Finalmente se corre el riesgo de legitimar política e ideológicamente los objetivos de algunos actores sociales y eliminar la diferencia y el disenso</w:t>
      </w:r>
      <w:r w:rsidR="004100AC">
        <w:t>.</w:t>
      </w:r>
      <w:r>
        <w:t xml:space="preserve"> </w:t>
      </w:r>
    </w:p>
    <w:p w:rsidR="0083646E" w:rsidRDefault="0083646E" w:rsidP="0083646E">
      <w:pPr>
        <w:pStyle w:val="Sinespaciado"/>
        <w:ind w:left="720"/>
        <w:jc w:val="both"/>
      </w:pPr>
    </w:p>
    <w:p w:rsidR="00BA3DC1" w:rsidRDefault="00C24A88" w:rsidP="00BA3DC1">
      <w:pPr>
        <w:pStyle w:val="Sinespaciado"/>
        <w:numPr>
          <w:ilvl w:val="0"/>
          <w:numId w:val="1"/>
        </w:numPr>
        <w:jc w:val="both"/>
      </w:pPr>
      <w:proofErr w:type="spellStart"/>
      <w:r>
        <w:t>Crítica</w:t>
      </w:r>
      <w:r w:rsidR="000E73FB">
        <w:t>r</w:t>
      </w:r>
      <w:proofErr w:type="spellEnd"/>
      <w:r>
        <w:t xml:space="preserve"> a la idea de cultura como verdad objetiva o totalidad. Cultura como patrón o molde que modela y prefigura las acciones de los sujetos, tal como lo planteaba el </w:t>
      </w:r>
      <w:proofErr w:type="spellStart"/>
      <w:r>
        <w:t>culturalismo</w:t>
      </w:r>
      <w:proofErr w:type="spellEnd"/>
      <w:r>
        <w:t xml:space="preserve"> norteamericano de la primera mitad del siglo XX.</w:t>
      </w:r>
      <w:r>
        <w:rPr>
          <w:rStyle w:val="Refdenotaalpie"/>
        </w:rPr>
        <w:footnoteReference w:id="5"/>
      </w:r>
      <w:r w:rsidR="0083646E">
        <w:t xml:space="preserve"> </w:t>
      </w:r>
      <w:r w:rsidR="005933FE">
        <w:t>Existen elementos preexistentes pero se reformulan por las prácticas sociales (</w:t>
      </w:r>
      <w:proofErr w:type="spellStart"/>
      <w:r w:rsidR="005933FE">
        <w:t>Giddens</w:t>
      </w:r>
      <w:proofErr w:type="spellEnd"/>
      <w:r w:rsidR="005933FE">
        <w:t xml:space="preserve"> – Bourdieu). En este enfoque se rescata la agencia del sujeto y la dimensión simbólica. Es decir, la cultura está tanto dentro como fuera de la mente</w:t>
      </w:r>
      <w:r w:rsidR="005933FE">
        <w:rPr>
          <w:rStyle w:val="Refdenotaalpie"/>
        </w:rPr>
        <w:footnoteReference w:id="6"/>
      </w:r>
      <w:r w:rsidR="005933FE">
        <w:t>.</w:t>
      </w:r>
    </w:p>
    <w:p w:rsidR="0000340E" w:rsidRDefault="0000340E" w:rsidP="0000340E">
      <w:pPr>
        <w:pStyle w:val="Prrafodelista"/>
      </w:pPr>
    </w:p>
    <w:p w:rsidR="00EF7FE1" w:rsidRDefault="0000340E" w:rsidP="00EF7FE1">
      <w:pPr>
        <w:pStyle w:val="Sinespaciado"/>
        <w:numPr>
          <w:ilvl w:val="0"/>
          <w:numId w:val="1"/>
        </w:numPr>
        <w:jc w:val="both"/>
      </w:pPr>
      <w:r>
        <w:t xml:space="preserve">Un enfoque relacional </w:t>
      </w:r>
      <w:r w:rsidR="00A9002C">
        <w:t xml:space="preserve">también </w:t>
      </w:r>
      <w:r>
        <w:t xml:space="preserve">implica adoptar una actitud crítica hacia las perspectivas </w:t>
      </w:r>
      <w:proofErr w:type="spellStart"/>
      <w:r>
        <w:t>etnocéntricas</w:t>
      </w:r>
      <w:proofErr w:type="spellEnd"/>
      <w:r w:rsidR="0057217D">
        <w:rPr>
          <w:rStyle w:val="Refdenotaalpie"/>
        </w:rPr>
        <w:footnoteReference w:id="7"/>
      </w:r>
      <w:r>
        <w:t>, de rechazo de las diferencias y prejuzgamiento de los otros a partir de nuestros propios parámetros culturales. El prejuicio y la discriminación resultantes de dicho etnocentrismo desemboca</w:t>
      </w:r>
      <w:r w:rsidR="0057217D">
        <w:t>n</w:t>
      </w:r>
      <w:r>
        <w:t xml:space="preserve"> en actitudes y comportamientos negadores de la diversidad y, en sus versiones más extremas, en reduccionismos </w:t>
      </w:r>
      <w:proofErr w:type="spellStart"/>
      <w:r>
        <w:t>biologicistas</w:t>
      </w:r>
      <w:proofErr w:type="spellEnd"/>
      <w:r>
        <w:t xml:space="preserve"> que conducen al racismo.</w:t>
      </w:r>
      <w:r w:rsidR="00EF7FE1">
        <w:t xml:space="preserve"> </w:t>
      </w:r>
    </w:p>
    <w:p w:rsidR="00AC0DF1" w:rsidRDefault="00AC0DF1" w:rsidP="00AC0DF1">
      <w:pPr>
        <w:pStyle w:val="Prrafodelista"/>
      </w:pPr>
    </w:p>
    <w:p w:rsidR="005A57C1" w:rsidRDefault="003010E9" w:rsidP="00A9002C">
      <w:pPr>
        <w:pStyle w:val="Sinespaciado"/>
        <w:numPr>
          <w:ilvl w:val="0"/>
          <w:numId w:val="1"/>
        </w:numPr>
        <w:jc w:val="both"/>
      </w:pPr>
      <w:r>
        <w:t>En una perspectiva educativa, e</w:t>
      </w:r>
      <w:r w:rsidR="0050546A">
        <w:t>sta aproximación supone la delimitación de algunos núcleos problemáticos</w:t>
      </w:r>
      <w:r w:rsidR="00187A46">
        <w:t xml:space="preserve"> que aspiren a ser significativos para los adolescentes en función de su presencia en los debates públicos (o en todo caso en su ausencia, ya que la </w:t>
      </w:r>
      <w:proofErr w:type="spellStart"/>
      <w:r w:rsidR="00187A46">
        <w:t>invisibilización</w:t>
      </w:r>
      <w:proofErr w:type="spellEnd"/>
      <w:r w:rsidR="00187A46">
        <w:t xml:space="preserve"> y el silencio son mensajes políticos e ideológicos que ocultan problemas reales de las personas y colectivos). En esta tensión entre lo dicho y lo no dicho</w:t>
      </w:r>
      <w:r w:rsidR="001966DE">
        <w:t xml:space="preserve"> usamos conceptos y categorías que muchas veces son seleccionados y definidos por formadores de agenda y partes interesadas. En este contexto, las referencias teóricas son fundamentales en la formulación de</w:t>
      </w:r>
      <w:r w:rsidR="0057217D">
        <w:t xml:space="preserve"> dichos</w:t>
      </w:r>
      <w:r w:rsidR="001966DE">
        <w:t xml:space="preserve"> núcleos</w:t>
      </w:r>
      <w:r w:rsidR="0057217D">
        <w:t>.</w:t>
      </w:r>
      <w:r w:rsidR="00A9002C">
        <w:t xml:space="preserve"> </w:t>
      </w:r>
    </w:p>
    <w:p w:rsidR="00AC0DF1" w:rsidRDefault="001966DE" w:rsidP="00AC0DF1">
      <w:pPr>
        <w:pStyle w:val="Prrafodelista"/>
        <w:jc w:val="both"/>
      </w:pPr>
      <w:r>
        <w:t>El recorte del problema supone, desde el punto de vista pedagógico, una descripción teórica previa pero –</w:t>
      </w:r>
      <w:r w:rsidR="003C58E3">
        <w:t>esencial</w:t>
      </w:r>
      <w:r>
        <w:t>mente- la construcción de interrogantes adecuados, potentes en términos educativos para la elaboración de hipótesis que orienten y enriquezcan el trabajo de los estudiantes.</w:t>
      </w:r>
      <w:r w:rsidR="00AC0DF1">
        <w:t xml:space="preserve"> </w:t>
      </w:r>
    </w:p>
    <w:p w:rsidR="004F50F9" w:rsidRDefault="00AC0DF1" w:rsidP="004F50F9">
      <w:pPr>
        <w:pStyle w:val="Prrafodelista"/>
        <w:jc w:val="both"/>
      </w:pPr>
      <w:r>
        <w:t xml:space="preserve">Desde </w:t>
      </w:r>
      <w:r w:rsidR="00811AFC">
        <w:t>lo</w:t>
      </w:r>
      <w:r>
        <w:t xml:space="preserve"> estrictame</w:t>
      </w:r>
      <w:r w:rsidR="0074166E">
        <w:t>nte ético, esta posición</w:t>
      </w:r>
      <w:r>
        <w:t xml:space="preserve"> implica una suspensión de los juicios evaluativos, lo cual desplaza la pregunta por el “deber ser” –que como afirman </w:t>
      </w:r>
      <w:proofErr w:type="spellStart"/>
      <w:r>
        <w:t>Sinisi</w:t>
      </w:r>
      <w:proofErr w:type="spellEnd"/>
      <w:r>
        <w:t xml:space="preserve">, </w:t>
      </w:r>
      <w:proofErr w:type="spellStart"/>
      <w:r>
        <w:lastRenderedPageBreak/>
        <w:t>Cerletti</w:t>
      </w:r>
      <w:proofErr w:type="spellEnd"/>
      <w:r>
        <w:t xml:space="preserve"> y Rúa (2016) constituye una pregunta clásica del sistema educativo- hacia el “cómo es” (Rockwell, 2009: 25).</w:t>
      </w:r>
      <w:r w:rsidR="0074166E">
        <w:t xml:space="preserve"> </w:t>
      </w:r>
    </w:p>
    <w:p w:rsidR="004F50F9" w:rsidRDefault="004F50F9" w:rsidP="004F50F9">
      <w:pPr>
        <w:pStyle w:val="Prrafodelista"/>
        <w:jc w:val="both"/>
      </w:pPr>
    </w:p>
    <w:p w:rsidR="001966DE" w:rsidRDefault="00BA3DC1" w:rsidP="00BA3DC1">
      <w:pPr>
        <w:pStyle w:val="Sinespaciado"/>
        <w:numPr>
          <w:ilvl w:val="0"/>
          <w:numId w:val="1"/>
        </w:numPr>
        <w:jc w:val="both"/>
      </w:pPr>
      <w:r>
        <w:t xml:space="preserve">Elena </w:t>
      </w:r>
      <w:proofErr w:type="spellStart"/>
      <w:r>
        <w:t>Achilli</w:t>
      </w:r>
      <w:proofErr w:type="spellEnd"/>
      <w:r>
        <w:t xml:space="preserve"> (2016</w:t>
      </w:r>
      <w:r w:rsidR="001501E3">
        <w:t>)</w:t>
      </w:r>
      <w:r w:rsidR="0099230A">
        <w:t xml:space="preserve"> distingue</w:t>
      </w:r>
      <w:r>
        <w:t xml:space="preserve"> los siguientes núcleos problemáticos generales que permiten contextualizar y re-pensar -desde un</w:t>
      </w:r>
      <w:r w:rsidR="00103226">
        <w:t>a amplia aproximación antro</w:t>
      </w:r>
      <w:r w:rsidR="00E22CBF">
        <w:t>pológica</w:t>
      </w:r>
      <w:r>
        <w:t>- las prácticas pedagógicas en un sentido integral. Ellos son:</w:t>
      </w:r>
    </w:p>
    <w:p w:rsidR="00BA3DC1" w:rsidRDefault="00BA3DC1" w:rsidP="00BA3DC1">
      <w:pPr>
        <w:pStyle w:val="Sinespaciado"/>
        <w:jc w:val="both"/>
      </w:pPr>
    </w:p>
    <w:p w:rsidR="00BA3DC1" w:rsidRDefault="00E22CBF" w:rsidP="00E22CBF">
      <w:pPr>
        <w:pStyle w:val="Sinespaciado"/>
        <w:numPr>
          <w:ilvl w:val="0"/>
          <w:numId w:val="3"/>
        </w:numPr>
        <w:jc w:val="both"/>
      </w:pPr>
      <w:r w:rsidRPr="0076361D">
        <w:rPr>
          <w:i/>
        </w:rPr>
        <w:t>La diversidad en que se expresa la vida humana.</w:t>
      </w:r>
      <w:r>
        <w:t xml:space="preserve"> “El </w:t>
      </w:r>
      <w:r w:rsidR="0076361D">
        <w:t>análisis de disímiles organizaciones familiares, políticas, de sistemas de creencias, de racionalidades, legitimaciones y valoraciones, de intercambios simbólicos, de particulares lógicas de vida, permitió conocer la universal potencialidad humana de crear-generar distintas expresiones socioculturales y, simultáneamente, ampliar una mirada crítica y des-</w:t>
      </w:r>
      <w:proofErr w:type="spellStart"/>
      <w:r w:rsidR="0076361D">
        <w:t>naturalizadora</w:t>
      </w:r>
      <w:proofErr w:type="spellEnd"/>
      <w:r w:rsidR="0076361D">
        <w:t xml:space="preserve"> de lo propio” (</w:t>
      </w:r>
      <w:proofErr w:type="spellStart"/>
      <w:r w:rsidR="0076361D">
        <w:t>Achilli</w:t>
      </w:r>
      <w:proofErr w:type="spellEnd"/>
      <w:r w:rsidR="0076361D">
        <w:t xml:space="preserve">, 2016: 23). Es justamente esta instancia </w:t>
      </w:r>
      <w:proofErr w:type="spellStart"/>
      <w:r w:rsidR="0076361D">
        <w:t>desnaturalizadora</w:t>
      </w:r>
      <w:proofErr w:type="spellEnd"/>
      <w:r w:rsidR="0076361D">
        <w:t xml:space="preserve"> de los procesos sociales la que permite ampliar </w:t>
      </w:r>
      <w:r w:rsidR="004F50F9">
        <w:t>el horizonte conceptual</w:t>
      </w:r>
      <w:r w:rsidR="0076361D">
        <w:t>, trascendiendo las visiones hegemónicas.</w:t>
      </w:r>
    </w:p>
    <w:p w:rsidR="004F50F9" w:rsidRDefault="004F50F9" w:rsidP="004F50F9">
      <w:pPr>
        <w:pStyle w:val="Sinespaciado"/>
        <w:ind w:left="1428"/>
        <w:jc w:val="both"/>
      </w:pPr>
    </w:p>
    <w:p w:rsidR="0076361D" w:rsidRDefault="0081415E" w:rsidP="00E22CBF">
      <w:pPr>
        <w:pStyle w:val="Sinespaciado"/>
        <w:numPr>
          <w:ilvl w:val="0"/>
          <w:numId w:val="3"/>
        </w:numPr>
        <w:jc w:val="both"/>
      </w:pPr>
      <w:r>
        <w:rPr>
          <w:i/>
        </w:rPr>
        <w:t>La concepción dinámica e histórica del concepto de cultura.</w:t>
      </w:r>
      <w:r>
        <w:t xml:space="preserve"> En su permanente relación con las desigualdades sociales que surgen de la interacción de sujetos y colectivos en las modernas sociedades complejas.</w:t>
      </w:r>
    </w:p>
    <w:p w:rsidR="004F50F9" w:rsidRDefault="004F50F9" w:rsidP="004F50F9">
      <w:pPr>
        <w:pStyle w:val="Sinespaciado"/>
        <w:jc w:val="both"/>
      </w:pPr>
    </w:p>
    <w:p w:rsidR="0081415E" w:rsidRDefault="0081415E" w:rsidP="00E22CBF">
      <w:pPr>
        <w:pStyle w:val="Sinespaciado"/>
        <w:numPr>
          <w:ilvl w:val="0"/>
          <w:numId w:val="3"/>
        </w:numPr>
        <w:jc w:val="both"/>
      </w:pPr>
      <w:r>
        <w:rPr>
          <w:i/>
        </w:rPr>
        <w:t xml:space="preserve">El análisis de la cotidianeidad social, </w:t>
      </w:r>
      <w:r>
        <w:t xml:space="preserve">que supone acceder al conocimiento de situaciones que no suelen ser tematizadas públicamente o que directamente son </w:t>
      </w:r>
      <w:proofErr w:type="spellStart"/>
      <w:r>
        <w:t>invisibilizadas</w:t>
      </w:r>
      <w:proofErr w:type="spellEnd"/>
      <w:r>
        <w:t xml:space="preserve"> por los discursos oficiales.</w:t>
      </w:r>
      <w:r w:rsidR="00EF7FE1">
        <w:t xml:space="preserve"> Se trata de un concepto central para la etnografía: una noción de vida  cotidiana impregnada de contenidos históricos (</w:t>
      </w:r>
      <w:proofErr w:type="spellStart"/>
      <w:r w:rsidR="00EF7FE1">
        <w:t>Heller</w:t>
      </w:r>
      <w:proofErr w:type="spellEnd"/>
      <w:r w:rsidR="00EF7FE1">
        <w:t>, 1977: 34)</w:t>
      </w:r>
      <w:r w:rsidR="004F50F9">
        <w:t>.</w:t>
      </w:r>
    </w:p>
    <w:p w:rsidR="004F50F9" w:rsidRDefault="004F50F9" w:rsidP="004F50F9">
      <w:pPr>
        <w:pStyle w:val="Sinespaciado"/>
        <w:jc w:val="both"/>
      </w:pPr>
    </w:p>
    <w:p w:rsidR="0081415E" w:rsidRDefault="0081415E" w:rsidP="00E22CBF">
      <w:pPr>
        <w:pStyle w:val="Sinespaciado"/>
        <w:numPr>
          <w:ilvl w:val="0"/>
          <w:numId w:val="3"/>
        </w:numPr>
        <w:jc w:val="both"/>
      </w:pPr>
      <w:r>
        <w:rPr>
          <w:i/>
        </w:rPr>
        <w:t>Importancia de la lógica sociocultural de los sujetos.</w:t>
      </w:r>
      <w:r>
        <w:t xml:space="preserve"> Considerando sus saberes, sus experiencias de vida y los sentidos que construyen; recuperando la trama de interacciones y relaciones con otros. Dichas prácticas y sentidos son, por definición, heterogéneas</w:t>
      </w:r>
      <w:r w:rsidR="0032543E">
        <w:t xml:space="preserve"> y en ellas se pueden detectar huellas históricas e intentos de transformación por parte de los sujetos. </w:t>
      </w:r>
    </w:p>
    <w:p w:rsidR="005B2F4F" w:rsidRDefault="005B2F4F" w:rsidP="005B2F4F">
      <w:pPr>
        <w:pStyle w:val="Prrafodelista"/>
      </w:pPr>
    </w:p>
    <w:p w:rsidR="005B2F4F" w:rsidRDefault="005B2F4F" w:rsidP="005B2F4F">
      <w:pPr>
        <w:pStyle w:val="Sinespaciado"/>
        <w:jc w:val="both"/>
      </w:pPr>
    </w:p>
    <w:p w:rsidR="005B2F4F" w:rsidRDefault="00553DBD" w:rsidP="005B2F4F">
      <w:pPr>
        <w:pStyle w:val="Sinespaciado"/>
        <w:jc w:val="center"/>
        <w:rPr>
          <w:b/>
          <w:u w:val="single"/>
        </w:rPr>
      </w:pPr>
      <w:r>
        <w:rPr>
          <w:b/>
          <w:u w:val="single"/>
        </w:rPr>
        <w:t>Lo relacional en contextos escolares</w:t>
      </w:r>
    </w:p>
    <w:p w:rsidR="00553DBD" w:rsidRDefault="00553DBD" w:rsidP="005B2F4F">
      <w:pPr>
        <w:pStyle w:val="Sinespaciado"/>
        <w:jc w:val="center"/>
      </w:pPr>
    </w:p>
    <w:p w:rsidR="00553DBD" w:rsidRDefault="00553DBD" w:rsidP="00553DBD">
      <w:pPr>
        <w:pStyle w:val="Sinespaciado"/>
        <w:jc w:val="both"/>
      </w:pPr>
      <w:r>
        <w:t xml:space="preserve">Antes de introducirnos en la discusión conceptual y su posible abordaje con nuestros alumnos, nos interesa particularizar cómo pensamos el lugar de la Escuela en la formación de futuros ciudadanos. </w:t>
      </w:r>
    </w:p>
    <w:p w:rsidR="00553DBD" w:rsidRDefault="00553DBD" w:rsidP="00553DBD">
      <w:pPr>
        <w:pStyle w:val="Sinespaciado"/>
        <w:jc w:val="both"/>
      </w:pPr>
    </w:p>
    <w:p w:rsidR="00553DBD" w:rsidRDefault="00553DBD" w:rsidP="00553DBD">
      <w:pPr>
        <w:pStyle w:val="Sinespaciado"/>
        <w:jc w:val="both"/>
      </w:pPr>
      <w:r>
        <w:t>La escuela es y ha sido una trayectoria de formación y una experiencia vital, donde se incluyen los aspectos curriculares y aquellos aprendizajes “extracurriculares” relacionados con la construcción de nuestra identidad en relación al grupo de pares y a los adultos con quiénes interactuamos. La escuela imprime una particular dinámica social entre un “adentro” y un “afuera” que forja vínculos atravesados por acuerdos y diálogos pero también desencuentros con la diferencia y, por qué no si la escuela forma parte de la sociedad, tensiones y disputas.</w:t>
      </w:r>
      <w:r w:rsidR="00A26572">
        <w:t xml:space="preserve"> </w:t>
      </w:r>
    </w:p>
    <w:p w:rsidR="00A26572" w:rsidRDefault="00A26572" w:rsidP="00553DBD">
      <w:pPr>
        <w:pStyle w:val="Sinespaciado"/>
        <w:jc w:val="both"/>
      </w:pPr>
      <w:r>
        <w:t xml:space="preserve">Como afirma Gabriel </w:t>
      </w:r>
      <w:proofErr w:type="spellStart"/>
      <w:r>
        <w:t>Brener</w:t>
      </w:r>
      <w:proofErr w:type="spellEnd"/>
      <w:r>
        <w:t xml:space="preserve"> (2014): “De raigambre igualitaria en su acceso, la escuela no siempre ha sido igualitaria en su tránsito. La igualdad fue tempranamente contaminada por la homogeneidad, gráficamente expresada en el guardapolvo y en esas </w:t>
      </w:r>
      <w:proofErr w:type="spellStart"/>
      <w:r>
        <w:t>remanidas</w:t>
      </w:r>
      <w:proofErr w:type="spellEnd"/>
      <w:r>
        <w:t xml:space="preserve"> imágenes de </w:t>
      </w:r>
      <w:r>
        <w:rPr>
          <w:i/>
        </w:rPr>
        <w:t>blancas palomas</w:t>
      </w:r>
      <w:r>
        <w:t xml:space="preserve"> que, despojadas de su singularidad, reducían la heterogeneidad del conjunto.”</w:t>
      </w:r>
    </w:p>
    <w:p w:rsidR="00A26572" w:rsidRDefault="00A26572" w:rsidP="00553DBD">
      <w:pPr>
        <w:pStyle w:val="Sinespaciado"/>
        <w:jc w:val="both"/>
      </w:pPr>
    </w:p>
    <w:p w:rsidR="00A26572" w:rsidRPr="00A26572" w:rsidRDefault="00A26572" w:rsidP="00553DBD">
      <w:pPr>
        <w:pStyle w:val="Sinespaciado"/>
        <w:jc w:val="both"/>
      </w:pPr>
      <w:r>
        <w:lastRenderedPageBreak/>
        <w:t>Apelamos pedagógicamente a pensar la educación en contextos heterogéneos, donde el acceso a la escuela se considere un derecho de las personas y una obligación de los Estados. Derechos no pensados en abstracto, sino puestos en práctica en casos concretos, por personas con historias, conflictos, sueños e intereses particulares.</w:t>
      </w:r>
    </w:p>
    <w:p w:rsidR="0000340E" w:rsidRDefault="0000340E" w:rsidP="0000340E">
      <w:pPr>
        <w:pStyle w:val="Sinespaciado"/>
        <w:jc w:val="both"/>
      </w:pPr>
    </w:p>
    <w:p w:rsidR="00A06A6F" w:rsidRDefault="00A06A6F" w:rsidP="0000340E">
      <w:pPr>
        <w:pStyle w:val="Sinespaciado"/>
        <w:jc w:val="both"/>
      </w:pPr>
    </w:p>
    <w:p w:rsidR="00A06A6F" w:rsidRDefault="00A06A6F" w:rsidP="00A06A6F">
      <w:pPr>
        <w:pStyle w:val="Sinespaciado"/>
        <w:jc w:val="center"/>
      </w:pPr>
      <w:r>
        <w:rPr>
          <w:b/>
          <w:u w:val="single"/>
        </w:rPr>
        <w:t>El problema de abordar términos clave de las Ciencias Sociales en el aula</w:t>
      </w:r>
    </w:p>
    <w:p w:rsidR="00A06A6F" w:rsidRDefault="00A06A6F" w:rsidP="00A06A6F">
      <w:pPr>
        <w:pStyle w:val="Sinespaciado"/>
        <w:jc w:val="center"/>
      </w:pPr>
    </w:p>
    <w:p w:rsidR="00A06A6F" w:rsidRDefault="00A06A6F" w:rsidP="00A06A6F">
      <w:pPr>
        <w:pStyle w:val="Sinespaciado"/>
        <w:jc w:val="both"/>
      </w:pPr>
      <w:r>
        <w:t xml:space="preserve">Debemos precisar, antes de comenzar el desarrollo de los debates teóricos en torno a ciertos conceptos, algunas </w:t>
      </w:r>
      <w:r w:rsidR="000E73FB">
        <w:t>consideraciones</w:t>
      </w:r>
      <w:r>
        <w:t xml:space="preserve"> metodológicas:</w:t>
      </w:r>
    </w:p>
    <w:p w:rsidR="00A06A6F" w:rsidRDefault="00A06A6F" w:rsidP="00A06A6F">
      <w:pPr>
        <w:pStyle w:val="Sinespaciado"/>
        <w:jc w:val="both"/>
      </w:pPr>
    </w:p>
    <w:p w:rsidR="00A06A6F" w:rsidRDefault="00A06A6F" w:rsidP="00A06A6F">
      <w:pPr>
        <w:pStyle w:val="Sinespaciado"/>
        <w:jc w:val="both"/>
      </w:pPr>
      <w:r>
        <w:t xml:space="preserve">Como bien afirman </w:t>
      </w:r>
      <w:proofErr w:type="spellStart"/>
      <w:r>
        <w:t>Brubaker</w:t>
      </w:r>
      <w:proofErr w:type="spellEnd"/>
      <w:r>
        <w:t xml:space="preserve"> y Cooper (2001), muchos términos clave de las ciencias sociales -“raza”, “identidad”, “nación”, “ciudadanía”, “democracia”, “clase”, por ejemplo- </w:t>
      </w:r>
      <w:r>
        <w:rPr>
          <w:i/>
        </w:rPr>
        <w:t xml:space="preserve">son a la vez categorías </w:t>
      </w:r>
      <w:r w:rsidR="00E62E62">
        <w:rPr>
          <w:i/>
        </w:rPr>
        <w:t>de la práctica social y política y categorías del análisis social y político.</w:t>
      </w:r>
    </w:p>
    <w:p w:rsidR="00E62E62" w:rsidRDefault="00E62E62" w:rsidP="00A06A6F">
      <w:pPr>
        <w:pStyle w:val="Sinespaciado"/>
        <w:jc w:val="both"/>
      </w:pPr>
      <w:r>
        <w:t>Esta distinción es importante pues no debemos confundir el uso de las</w:t>
      </w:r>
      <w:r w:rsidR="00C26047">
        <w:t xml:space="preserve"> </w:t>
      </w:r>
      <w:r>
        <w:t xml:space="preserve">categorías prácticas, de la experiencia social diaria, desarrolladas </w:t>
      </w:r>
      <w:r w:rsidR="00C26047">
        <w:t>por actores sociales ordinarios</w:t>
      </w:r>
      <w:r>
        <w:t xml:space="preserve"> (también llamadas </w:t>
      </w:r>
      <w:r>
        <w:rPr>
          <w:i/>
        </w:rPr>
        <w:t>categorías nativas</w:t>
      </w:r>
      <w:r>
        <w:t>) con las categorías teóricas utiliz</w:t>
      </w:r>
      <w:r w:rsidR="00C26047">
        <w:t>adas por los analistas sociales,</w:t>
      </w:r>
      <w:r>
        <w:t xml:space="preserve"> que imponen una experiencia más distante.</w:t>
      </w:r>
    </w:p>
    <w:p w:rsidR="00E62E62" w:rsidRDefault="00E62E62" w:rsidP="00A06A6F">
      <w:pPr>
        <w:pStyle w:val="Sinespaciado"/>
        <w:jc w:val="both"/>
      </w:pPr>
      <w:r>
        <w:t>Sin embargo existe un continuo intercambio, muchas veces incontrolado, entre nociones analíticas y ordinarias que dificultan la comprensión de los procesos sociales. El mero uso de un término como categoría de la práctica no lo descalifica como categoría de análisis. “Si lo hiciera, el vocabulario del análisis social sería mucho más pobre, y m</w:t>
      </w:r>
      <w:r w:rsidR="008A7582">
        <w:t xml:space="preserve">ás artificial de lo que es. Lo problemático no es que un cierto término sea usado, sino </w:t>
      </w:r>
      <w:r w:rsidR="008A7582">
        <w:rPr>
          <w:i/>
        </w:rPr>
        <w:t>cómo</w:t>
      </w:r>
      <w:r w:rsidR="008A7582">
        <w:t xml:space="preserve"> se usa” (</w:t>
      </w:r>
      <w:proofErr w:type="spellStart"/>
      <w:r w:rsidR="008A7582">
        <w:t>Brubaker</w:t>
      </w:r>
      <w:proofErr w:type="spellEnd"/>
      <w:r w:rsidR="008A7582">
        <w:t xml:space="preserve"> y Cooper, 2001: 6).</w:t>
      </w:r>
    </w:p>
    <w:p w:rsidR="0003536E" w:rsidRDefault="0003536E" w:rsidP="00A06A6F">
      <w:pPr>
        <w:pStyle w:val="Sinespaciado"/>
        <w:jc w:val="both"/>
      </w:pPr>
    </w:p>
    <w:p w:rsidR="008A7582" w:rsidRDefault="008A7582" w:rsidP="00A06A6F">
      <w:pPr>
        <w:pStyle w:val="Sinespaciado"/>
        <w:jc w:val="both"/>
      </w:pPr>
      <w:r>
        <w:t>Es decir, contemplar y analizar el uso político y social de ciertos conceptos –como el de “nación” en muchas reivindicaciones y reclamos de autodeterminación- no implica considerar a la nación como algo con existencia real y hacer de ella una categoría central de la teoría.</w:t>
      </w:r>
    </w:p>
    <w:p w:rsidR="008A7582" w:rsidRDefault="008A7582" w:rsidP="00A06A6F">
      <w:pPr>
        <w:pStyle w:val="Sinespaciado"/>
        <w:jc w:val="both"/>
      </w:pPr>
      <w:r>
        <w:t>Lo mismo sucede con la “identidad”; uno puede analizar discusiones sobre identidades políticas como analistas, sin suponer necesariamente la existencia de “identidades”.</w:t>
      </w:r>
      <w:r w:rsidR="00BE1712">
        <w:t xml:space="preserve"> Existe un proceso social de reificación, central para políticas de “género”, “etnicidad”, “nación” y otras “identidades”, que debe ser estudiado y considerado por los analistas.</w:t>
      </w:r>
    </w:p>
    <w:p w:rsidR="00C26047" w:rsidRDefault="00C26047" w:rsidP="00A06A6F">
      <w:pPr>
        <w:pStyle w:val="Sinespaciado"/>
        <w:jc w:val="both"/>
      </w:pPr>
    </w:p>
    <w:p w:rsidR="00C26047" w:rsidRDefault="00C26047" w:rsidP="00A06A6F">
      <w:pPr>
        <w:pStyle w:val="Sinespaciado"/>
        <w:jc w:val="both"/>
      </w:pPr>
      <w:r>
        <w:t>Entonces, proponemos discutir la vieja idea positivista, ya enunciada por Durkheim a fines del siglo XIX, de que es posible “estudiar los hechos sociales como cosas”. Hay que romper con la idea de que la realidad es lo dado y, de esta manera, omitir aspectos ideológicos, representaciones, ocultamientos e intereses varios que intervienen en la “construcción social de la realidad”.</w:t>
      </w:r>
    </w:p>
    <w:p w:rsidR="00C26047" w:rsidRDefault="00C26047" w:rsidP="00A06A6F">
      <w:pPr>
        <w:pStyle w:val="Sinespaciado"/>
        <w:jc w:val="both"/>
      </w:pPr>
      <w:r>
        <w:t>Ni siquiera las estadísticas pueden dar cuenta cabal de aquello que denominamos “realidad”</w:t>
      </w:r>
      <w:r w:rsidR="005F532C">
        <w:t xml:space="preserve">. A modo de ejemplo podríamos preguntarnos: ¿Qué miden las evaluaciones educativas estandarizadas? ¿Contemplan todos los tipos de inteligencias, suponiendo que existe consenso acerca de lo que significa “inteligencia”? ¿Los resultados de los </w:t>
      </w:r>
      <w:proofErr w:type="spellStart"/>
      <w:r w:rsidR="005F532C">
        <w:t>tests</w:t>
      </w:r>
      <w:proofErr w:type="spellEnd"/>
      <w:r w:rsidR="005F532C">
        <w:t xml:space="preserve"> son universalmente válidos? ¿Reflejan el estado de situación del sistema educativo de una región o país?</w:t>
      </w:r>
    </w:p>
    <w:p w:rsidR="005F532C" w:rsidRDefault="005F532C" w:rsidP="00A06A6F">
      <w:pPr>
        <w:pStyle w:val="Sinespaciado"/>
        <w:jc w:val="both"/>
      </w:pPr>
      <w:r>
        <w:t>Otro ejemplo podría</w:t>
      </w:r>
      <w:r w:rsidR="007871DC">
        <w:t xml:space="preserve"> remitir al análisis de la pobreza en un país: ¿Con qué criterios se categoriza a la pobreza? ¿Se mide siguiendo el criterio de ingresos (la llamada “línea de pobreza”)? ¿Se adoptan perspectivas multicausales vinculadas a las necesidades básicas del desarrollo humano? ¿Qué bienes y servicios se consideran esenciales para una “canasta básica”? ¿Son representativos al nivel de todas las clases sociales?</w:t>
      </w:r>
    </w:p>
    <w:p w:rsidR="00053A2B" w:rsidRDefault="00053A2B" w:rsidP="00A06A6F">
      <w:pPr>
        <w:pStyle w:val="Sinespaciado"/>
        <w:jc w:val="both"/>
      </w:pPr>
    </w:p>
    <w:p w:rsidR="00053A2B" w:rsidRDefault="007871DC" w:rsidP="00A06A6F">
      <w:pPr>
        <w:pStyle w:val="Sinespaciado"/>
        <w:jc w:val="both"/>
      </w:pPr>
      <w:r>
        <w:t xml:space="preserve">Las preguntas y cuestionamientos pueden ampliarse y lejos estaríamos de un consenso pleno acerca de la caracterización del problema social en cuestión, de sus causas, de sus consecuencias sobre los sujetos y de las posibles estrategias de abordaje del mismo. La realidad social es </w:t>
      </w:r>
      <w:r>
        <w:lastRenderedPageBreak/>
        <w:t>compleja y –en un punto- inaprehensible. Ello no implica, por supuesto, emprender la retirada de su análisis</w:t>
      </w:r>
      <w:r w:rsidR="00053A2B">
        <w:t>, negando la cientificidad y capacidad explicativa de las ciencias sociales a causa de su imposibilidad predictiva (amparándonos en el modelo de las llamadas ciencias “duras”) o bien adoptar una postura subjetivista y reduccionista de la realidad, circunscribiéndola a la “perspectiva centrada en el actor”.</w:t>
      </w:r>
    </w:p>
    <w:p w:rsidR="00053A2B" w:rsidRDefault="00053A2B" w:rsidP="00A06A6F">
      <w:pPr>
        <w:pStyle w:val="Sinespaciado"/>
        <w:jc w:val="both"/>
      </w:pPr>
    </w:p>
    <w:p w:rsidR="00BE1712" w:rsidRPr="008A7582" w:rsidRDefault="00BE1712" w:rsidP="00A06A6F">
      <w:pPr>
        <w:pStyle w:val="Sinespaciado"/>
        <w:jc w:val="both"/>
      </w:pPr>
      <w:r>
        <w:t>Esperamos que este complejo problema quede comprendido a partir del análisis conceptual que realizaremos en los próximos apartados.</w:t>
      </w:r>
    </w:p>
    <w:p w:rsidR="00CE1804" w:rsidRDefault="00CE1804" w:rsidP="0000340E">
      <w:pPr>
        <w:pStyle w:val="Sinespaciado"/>
        <w:jc w:val="both"/>
      </w:pPr>
    </w:p>
    <w:p w:rsidR="0039390F" w:rsidRDefault="0039390F" w:rsidP="0000340E">
      <w:pPr>
        <w:pStyle w:val="Sinespaciado"/>
        <w:jc w:val="both"/>
      </w:pPr>
    </w:p>
    <w:p w:rsidR="0039390F" w:rsidRDefault="0039390F" w:rsidP="0000340E">
      <w:pPr>
        <w:pStyle w:val="Sinespaciado"/>
        <w:jc w:val="both"/>
      </w:pPr>
    </w:p>
    <w:p w:rsidR="001550F5" w:rsidRDefault="001550F5" w:rsidP="00545FEC">
      <w:pPr>
        <w:pStyle w:val="Sinespaciado"/>
        <w:numPr>
          <w:ilvl w:val="0"/>
          <w:numId w:val="9"/>
        </w:numPr>
        <w:jc w:val="center"/>
        <w:rPr>
          <w:b/>
          <w:u w:val="single"/>
        </w:rPr>
      </w:pPr>
      <w:r>
        <w:rPr>
          <w:b/>
          <w:u w:val="single"/>
        </w:rPr>
        <w:t>Ejemplo de abordaje de contenidos desde un enfoque relacional en torno a los conceptos de</w:t>
      </w:r>
    </w:p>
    <w:p w:rsidR="001550F5" w:rsidRDefault="001550F5" w:rsidP="001550F5">
      <w:pPr>
        <w:pStyle w:val="Sinespaciado"/>
        <w:jc w:val="center"/>
      </w:pPr>
      <w:proofErr w:type="gramStart"/>
      <w:r>
        <w:rPr>
          <w:b/>
          <w:u w:val="single"/>
        </w:rPr>
        <w:t>“ Derecho</w:t>
      </w:r>
      <w:proofErr w:type="gramEnd"/>
      <w:r>
        <w:rPr>
          <w:b/>
          <w:u w:val="single"/>
        </w:rPr>
        <w:t>, Estado y Participación”.</w:t>
      </w:r>
    </w:p>
    <w:p w:rsidR="00970D37" w:rsidRDefault="00970D37" w:rsidP="001550F5">
      <w:pPr>
        <w:pStyle w:val="Sinespaciado"/>
        <w:jc w:val="both"/>
      </w:pPr>
    </w:p>
    <w:p w:rsidR="0039390F" w:rsidRDefault="0039390F" w:rsidP="001550F5">
      <w:pPr>
        <w:pStyle w:val="Sinespaciado"/>
        <w:jc w:val="both"/>
      </w:pPr>
    </w:p>
    <w:p w:rsidR="001550F5" w:rsidRDefault="00970D37" w:rsidP="001550F5">
      <w:pPr>
        <w:pStyle w:val="Sinespaciado"/>
        <w:jc w:val="both"/>
      </w:pPr>
      <w:r>
        <w:t>Partimos de</w:t>
      </w:r>
      <w:r w:rsidR="001550F5">
        <w:t xml:space="preserve"> una posible conceptualización  teórica marco en relación al Estado y la participación en democracia por lograr el cumplimiento de derechos, para finalmente anclar algún problema concreto en relación al tema para ser abordado en el aula.</w:t>
      </w:r>
    </w:p>
    <w:p w:rsidR="001550F5" w:rsidRDefault="001550F5" w:rsidP="001550F5">
      <w:pPr>
        <w:pStyle w:val="Sinespaciado"/>
        <w:jc w:val="both"/>
      </w:pPr>
    </w:p>
    <w:p w:rsidR="001550F5" w:rsidRPr="00FA35D9" w:rsidRDefault="00970D37" w:rsidP="00053A2B">
      <w:pPr>
        <w:pStyle w:val="Sinespaciado"/>
        <w:jc w:val="center"/>
        <w:rPr>
          <w:b/>
        </w:rPr>
      </w:pPr>
      <w:r w:rsidRPr="00FA35D9">
        <w:rPr>
          <w:b/>
        </w:rPr>
        <w:t>1.- ¿Por qué el Estado como contenido articulador del núcleo vinculado al ejercicio de derechos y participación?</w:t>
      </w:r>
    </w:p>
    <w:p w:rsidR="00970D37" w:rsidRPr="00FA35D9" w:rsidRDefault="00970D37" w:rsidP="001550F5">
      <w:pPr>
        <w:pStyle w:val="Sinespaciado"/>
        <w:jc w:val="both"/>
        <w:rPr>
          <w:b/>
        </w:rPr>
      </w:pPr>
    </w:p>
    <w:p w:rsidR="00970D37" w:rsidRDefault="00970D37" w:rsidP="001550F5">
      <w:pPr>
        <w:pStyle w:val="Sinespaciado"/>
        <w:jc w:val="both"/>
      </w:pPr>
      <w:r>
        <w:t xml:space="preserve">Porque estructura la vida social y media a un nivel profundo en las relaciones entre individuos y grupos en </w:t>
      </w:r>
      <w:r w:rsidR="003E2041">
        <w:t>casi todas las instancias de la vida cotidiana, tal como veremos más adelante. Lejos de ser una estructura autónoma</w:t>
      </w:r>
      <w:r w:rsidR="0086559D">
        <w:t xml:space="preserve"> y homogénea</w:t>
      </w:r>
      <w:r w:rsidR="003E2041">
        <w:t>, el Estado evoluciona y se complejiza a lo largo del proceso histórico a nivel local, regional y mundial. Es, aún con las transformaciones contemporáneas y el surgimiento de “nuevos movimientos sociales” e identidades, el marco de referencia ineludible para analizar el desarrollo de procesos socioculturales, políticos y económicos.</w:t>
      </w:r>
    </w:p>
    <w:p w:rsidR="007F60E4" w:rsidRDefault="007F60E4" w:rsidP="001550F5">
      <w:pPr>
        <w:pStyle w:val="Sinespaciado"/>
        <w:jc w:val="both"/>
      </w:pPr>
    </w:p>
    <w:p w:rsidR="007F60E4" w:rsidRDefault="007F60E4" w:rsidP="001550F5">
      <w:pPr>
        <w:pStyle w:val="Sinespaciado"/>
        <w:jc w:val="both"/>
      </w:pPr>
      <w:r>
        <w:t xml:space="preserve">Como punto de partida, conviene recordar varios requisitos de organización que lo singularizan históricamente y que permiten establecer un acuerdo y marco </w:t>
      </w:r>
      <w:r w:rsidR="007F57EF">
        <w:t xml:space="preserve">común de análisis. Siguiendo a </w:t>
      </w:r>
      <w:r>
        <w:t xml:space="preserve"> (Weber, 1962)</w:t>
      </w:r>
      <w:r w:rsidR="007F57EF">
        <w:t xml:space="preserve"> e</w:t>
      </w:r>
      <w:r>
        <w:t>llos son:</w:t>
      </w:r>
    </w:p>
    <w:p w:rsidR="007F60E4" w:rsidRDefault="007F60E4" w:rsidP="001550F5">
      <w:pPr>
        <w:pStyle w:val="Sinespaciado"/>
        <w:jc w:val="both"/>
      </w:pPr>
    </w:p>
    <w:p w:rsidR="007F60E4" w:rsidRDefault="007F60E4" w:rsidP="007F57EF">
      <w:pPr>
        <w:pStyle w:val="Sinespaciado"/>
        <w:numPr>
          <w:ilvl w:val="0"/>
          <w:numId w:val="8"/>
        </w:numPr>
        <w:jc w:val="both"/>
      </w:pPr>
      <w:r>
        <w:t>Grupo humano asentado en un territorio.</w:t>
      </w:r>
    </w:p>
    <w:p w:rsidR="007F60E4" w:rsidRDefault="007F60E4" w:rsidP="007F57EF">
      <w:pPr>
        <w:pStyle w:val="Sinespaciado"/>
        <w:numPr>
          <w:ilvl w:val="0"/>
          <w:numId w:val="8"/>
        </w:numPr>
        <w:jc w:val="both"/>
      </w:pPr>
      <w:r>
        <w:t>Régimen jurídico unificado.</w:t>
      </w:r>
    </w:p>
    <w:p w:rsidR="007F57EF" w:rsidRDefault="007F57EF" w:rsidP="007F57EF">
      <w:pPr>
        <w:pStyle w:val="Sinespaciado"/>
        <w:numPr>
          <w:ilvl w:val="0"/>
          <w:numId w:val="8"/>
        </w:numPr>
        <w:jc w:val="both"/>
      </w:pPr>
      <w:r>
        <w:t>Burocracia: existencia de un grupo de funcionarios que sirve a ese régimen jurídico.</w:t>
      </w:r>
    </w:p>
    <w:p w:rsidR="007F57EF" w:rsidRDefault="007F57EF" w:rsidP="007F57EF">
      <w:pPr>
        <w:pStyle w:val="Sinespaciado"/>
        <w:numPr>
          <w:ilvl w:val="0"/>
          <w:numId w:val="8"/>
        </w:numPr>
        <w:jc w:val="both"/>
      </w:pPr>
      <w:r>
        <w:t>Unidad de poder autónomo y centralizado, con capacidad de emplear la fuerza para imponerse.</w:t>
      </w:r>
    </w:p>
    <w:p w:rsidR="007F57EF" w:rsidRDefault="007F57EF" w:rsidP="007F57EF">
      <w:pPr>
        <w:pStyle w:val="Sinespaciado"/>
        <w:numPr>
          <w:ilvl w:val="0"/>
          <w:numId w:val="8"/>
        </w:numPr>
        <w:jc w:val="both"/>
      </w:pPr>
      <w:r>
        <w:t>Gobierno que apela al bien público como objetivo central de su empresa.</w:t>
      </w:r>
    </w:p>
    <w:p w:rsidR="007F57EF" w:rsidRDefault="007F57EF" w:rsidP="007F57EF">
      <w:pPr>
        <w:pStyle w:val="Sinespaciado"/>
        <w:jc w:val="both"/>
      </w:pPr>
    </w:p>
    <w:p w:rsidR="007F57EF" w:rsidRDefault="007F57EF" w:rsidP="007F57EF">
      <w:pPr>
        <w:pStyle w:val="Sinespaciado"/>
        <w:jc w:val="both"/>
      </w:pPr>
      <w:r>
        <w:t>Existen</w:t>
      </w:r>
      <w:r w:rsidR="001B43CA">
        <w:t xml:space="preserve"> varias definiciones del Estado, desde aquellas que sólo enfatizan en la organización del poder, las que priorizan los aspectos éticos del bien común, hasta las marxistas que hacen hincapié en la regulación de los conflictos sociales en una sociedad de clases basada en relaciones de dominación y subordinación (Delgado, 1994: 19).</w:t>
      </w:r>
      <w:r w:rsidR="00A57997">
        <w:t xml:space="preserve"> A grandes rasgos observamos que algunas se apoyan en los aspectos consensuales o negociadores y otras en los elementos coercitivos.</w:t>
      </w:r>
    </w:p>
    <w:p w:rsidR="001B43CA" w:rsidRDefault="001B43CA" w:rsidP="007F57EF">
      <w:pPr>
        <w:pStyle w:val="Sinespaciado"/>
        <w:jc w:val="both"/>
      </w:pPr>
    </w:p>
    <w:p w:rsidR="0086559D" w:rsidRDefault="000121E6" w:rsidP="007F57EF">
      <w:pPr>
        <w:pStyle w:val="Sinespaciado"/>
        <w:jc w:val="both"/>
      </w:pPr>
      <w:r>
        <w:lastRenderedPageBreak/>
        <w:t xml:space="preserve">En nuestra propuesta de abordaje, </w:t>
      </w:r>
      <w:r w:rsidRPr="000121E6">
        <w:rPr>
          <w:i/>
        </w:rPr>
        <w:t>concebimos al</w:t>
      </w:r>
      <w:r>
        <w:t xml:space="preserve"> </w:t>
      </w:r>
      <w:r>
        <w:rPr>
          <w:i/>
        </w:rPr>
        <w:t xml:space="preserve">Estado como relación social; </w:t>
      </w:r>
      <w:r>
        <w:t>lo que nos orienta a sistematizar sus mediaciones con la sociedad en el plano económico, político y sociocultural.</w:t>
      </w:r>
      <w:r>
        <w:rPr>
          <w:rStyle w:val="Refdenotaalpie"/>
        </w:rPr>
        <w:footnoteReference w:id="8"/>
      </w:r>
      <w:r w:rsidR="00A57997">
        <w:t xml:space="preserve"> Dicha caracterización considera al Estado como mucho más que el “aparato burocrático” o el “sector público” (O </w:t>
      </w:r>
      <w:proofErr w:type="spellStart"/>
      <w:r w:rsidR="00A57997">
        <w:t>Donnell</w:t>
      </w:r>
      <w:proofErr w:type="spellEnd"/>
      <w:r w:rsidR="00A57997">
        <w:t>, 1993); no debe ser entendido como una cosa en sí sino como una trama o forma social.</w:t>
      </w:r>
    </w:p>
    <w:p w:rsidR="00A57997" w:rsidRPr="000121E6" w:rsidRDefault="00A57997" w:rsidP="007F57EF">
      <w:pPr>
        <w:pStyle w:val="Sinespaciado"/>
        <w:jc w:val="both"/>
      </w:pPr>
    </w:p>
    <w:p w:rsidR="0086559D" w:rsidRDefault="0086559D" w:rsidP="001550F5">
      <w:pPr>
        <w:pStyle w:val="Sinespaciado"/>
        <w:jc w:val="both"/>
      </w:pPr>
    </w:p>
    <w:p w:rsidR="00970D37" w:rsidRPr="00FA35D9" w:rsidRDefault="001550F5" w:rsidP="00053A2B">
      <w:pPr>
        <w:pStyle w:val="Sinespaciado"/>
        <w:jc w:val="center"/>
        <w:rPr>
          <w:b/>
        </w:rPr>
      </w:pPr>
      <w:r w:rsidRPr="00FA35D9">
        <w:rPr>
          <w:b/>
        </w:rPr>
        <w:t>2.- ¿Cómo estableceríamos un marco conceptual de discusión y abordaje de contenidos en torno al Estado desde un enfoque relacional?</w:t>
      </w:r>
    </w:p>
    <w:p w:rsidR="001550F5" w:rsidRDefault="001550F5" w:rsidP="001550F5">
      <w:pPr>
        <w:pStyle w:val="Sinespaciado"/>
        <w:jc w:val="both"/>
      </w:pPr>
    </w:p>
    <w:p w:rsidR="0003536E" w:rsidRDefault="0003536E" w:rsidP="001550F5">
      <w:pPr>
        <w:pStyle w:val="Sinespaciado"/>
        <w:jc w:val="both"/>
      </w:pPr>
    </w:p>
    <w:p w:rsidR="001550F5" w:rsidRDefault="001550F5" w:rsidP="001550F5">
      <w:pPr>
        <w:pStyle w:val="Sinespaciado"/>
        <w:jc w:val="both"/>
      </w:pPr>
      <w:r>
        <w:t>En primer lugar debemos discutir la noción homogeneizadora y unificadora del Estado y su unidireccional vinculación con la esfera del poder, descuidándose la profunda penetración del Estado Moderno en la vida cotidiana de los sujetos (</w:t>
      </w:r>
      <w:proofErr w:type="spellStart"/>
      <w:r>
        <w:t>Gledhill</w:t>
      </w:r>
      <w:proofErr w:type="spellEnd"/>
      <w:r>
        <w:t>, 2000). ¿Cómo lo hace? A través de una centralización administrativa de alto alcance. La transición final al estado – nación queda vinculada a una pacificación social basada en poderosos recursos administrativos internos. Se produce así un cambio más general en la capacidad sancionadora del estado: del uso manifiesto de la violencia al uso global del poder administrativo, que se materializa en nuevas tecnologías de control social (</w:t>
      </w:r>
      <w:proofErr w:type="spellStart"/>
      <w:r>
        <w:t>Gledhill</w:t>
      </w:r>
      <w:proofErr w:type="spellEnd"/>
      <w:r>
        <w:t>; 2000: pp. 36-38).</w:t>
      </w:r>
    </w:p>
    <w:p w:rsidR="001550F5" w:rsidRDefault="001550F5" w:rsidP="001550F5">
      <w:pPr>
        <w:pStyle w:val="Sinespaciado"/>
        <w:jc w:val="both"/>
      </w:pPr>
      <w:r>
        <w:t>Esta profunda regulación de la vida social y personal se organiza a través de instrumentos y herramientas legales, que dan cuenta de las estrategias a nivel de las instituciones y las políticas públicas, obligando a todos los grupos a sumir en el plano jurídico las categorías legales del Estado</w:t>
      </w:r>
      <w:r w:rsidRPr="000F74F3">
        <w:rPr>
          <w:b/>
        </w:rPr>
        <w:t>. Aparece así un reconocimiento de los</w:t>
      </w:r>
      <w:r>
        <w:t xml:space="preserve"> </w:t>
      </w:r>
      <w:r>
        <w:rPr>
          <w:b/>
        </w:rPr>
        <w:t>derechos de determinados grupos, pero sólo dentro del dominio organizado por el Estado. Aquí es donde se logra “homogeneizar” y unificar las reglas de la vida cotidiana, transformándolas justamente en derechos.</w:t>
      </w:r>
      <w:r>
        <w:t xml:space="preserve"> Pero esta aceptación no es monolítica y hay luchas</w:t>
      </w:r>
      <w:r w:rsidR="00466BCB">
        <w:t xml:space="preserve"> de grupos y colectivos</w:t>
      </w:r>
      <w:r>
        <w:t xml:space="preserve"> que</w:t>
      </w:r>
      <w:r w:rsidR="00466BCB">
        <w:t xml:space="preserve"> aspiran a</w:t>
      </w:r>
      <w:r>
        <w:t xml:space="preserve"> ser reconocidos como sujetos de derecho y muchas veces impugnan esas etiquetas estatales.</w:t>
      </w:r>
    </w:p>
    <w:p w:rsidR="006C6692" w:rsidRDefault="006C6692" w:rsidP="001550F5">
      <w:pPr>
        <w:pStyle w:val="Sinespaciado"/>
        <w:jc w:val="both"/>
      </w:pPr>
    </w:p>
    <w:p w:rsidR="006C6692" w:rsidRPr="009F2B01" w:rsidRDefault="006C6692" w:rsidP="001550F5">
      <w:pPr>
        <w:pStyle w:val="Sinespaciado"/>
        <w:jc w:val="both"/>
      </w:pPr>
      <w:r>
        <w:t xml:space="preserve">En la sociedad contemporánea –lo veremos más adelante en relación a los procesos </w:t>
      </w:r>
      <w:proofErr w:type="spellStart"/>
      <w:r>
        <w:t>identitarios</w:t>
      </w:r>
      <w:proofErr w:type="spellEnd"/>
      <w:r>
        <w:t>- nos preocupa cómo pensar las diferencias en su singularidad y a la vez asegurar el acceso a iguales derechos y su ejercicio (</w:t>
      </w:r>
      <w:proofErr w:type="spellStart"/>
      <w:r>
        <w:t>Brener</w:t>
      </w:r>
      <w:proofErr w:type="spellEnd"/>
      <w:r>
        <w:t xml:space="preserve">, 2014). </w:t>
      </w:r>
    </w:p>
    <w:p w:rsidR="001550F5" w:rsidRDefault="001550F5" w:rsidP="001550F5">
      <w:pPr>
        <w:pStyle w:val="Sinespaciado"/>
        <w:jc w:val="both"/>
      </w:pPr>
    </w:p>
    <w:p w:rsidR="001550F5" w:rsidRDefault="001550F5" w:rsidP="001550F5">
      <w:pPr>
        <w:pStyle w:val="Sinespaciado"/>
        <w:jc w:val="both"/>
      </w:pPr>
      <w:r>
        <w:t xml:space="preserve">Justamente por ello, en segundo lugar debemos problematizar la relación entre poder y coerción por un lado y consenso por el otro. Es en el marco de esa tensión donde debemos contextualizar las prácticas participativas. </w:t>
      </w:r>
      <w:r w:rsidRPr="0086559D">
        <w:rPr>
          <w:i/>
        </w:rPr>
        <w:t>Participación como concepto cultural e históricamente determinado</w:t>
      </w:r>
      <w:r>
        <w:t>, dentro de una trama de relaciones de poder. En la democracia actual: ¿</w:t>
      </w:r>
      <w:r w:rsidR="0086559D">
        <w:t>Cuáles son las condiciones de participación de la ciudadanía? En este contexto no hay que partir de presupuestos naturalizados y discutir con nuestros alumnos posibilidades, criterios y marcos compartidos de participación</w:t>
      </w:r>
      <w:r>
        <w:t>.</w:t>
      </w:r>
      <w:r w:rsidR="00342E13">
        <w:t xml:space="preserve"> </w:t>
      </w:r>
    </w:p>
    <w:p w:rsidR="0003536E" w:rsidRDefault="00342E13" w:rsidP="001550F5">
      <w:pPr>
        <w:pStyle w:val="Sinespaciado"/>
        <w:jc w:val="both"/>
      </w:pPr>
      <w:r>
        <w:t>¿Qué sucede con otros grupos o instituciones como las Organizaciones no Gubernamentales y el llamado Tercer Sector? ¿Cómo influyen en su articulación con los ciudadanos concretos y las instancias estatales? El tema de la igualdad o desigualdad en el acceso a los canales de representación y articulación de las demandas, podría convertirse en un tema a indagar y problematizar en contextos sumamente heterogéneos y dinámicos como los de las sociedades contemporáneas.</w:t>
      </w:r>
    </w:p>
    <w:p w:rsidR="00A35F14" w:rsidRDefault="00A35F14" w:rsidP="00A35F14">
      <w:pPr>
        <w:pStyle w:val="Sinespaciado"/>
        <w:jc w:val="both"/>
      </w:pPr>
      <w:r>
        <w:t xml:space="preserve">María Teresa </w:t>
      </w:r>
      <w:proofErr w:type="spellStart"/>
      <w:r>
        <w:t>Sirvent</w:t>
      </w:r>
      <w:proofErr w:type="spellEnd"/>
      <w:r>
        <w:t xml:space="preserve"> (1998) distingue entre “participación real” y “participación simbólica o engañosa”. La primera ocurre cuando los miembros de una institución o grupo, a través de sus acciones, inciden efectivamente sobre los procesos de la vida institucional y la toma de </w:t>
      </w:r>
      <w:r>
        <w:lastRenderedPageBreak/>
        <w:t>decisiones. Esto implica articular formas de ejercicio del poder a través de la determinación de metas, estrategias y alternativas de acción; en la implementación concreta de las decisiones y en la evaluación permanente del funcionamiento institucional. En síntesis, la participación real impone una modificación en la estructura del poder</w:t>
      </w:r>
      <w:r w:rsidR="009016BA">
        <w:t xml:space="preserve"> en relación a quienes deciden, en qué se decide y a quienes se beneficia.</w:t>
      </w:r>
    </w:p>
    <w:p w:rsidR="009016BA" w:rsidRDefault="009016BA" w:rsidP="00A35F14">
      <w:pPr>
        <w:pStyle w:val="Sinespaciado"/>
        <w:jc w:val="both"/>
      </w:pPr>
      <w:r>
        <w:t xml:space="preserve">En tanto la mera participación simbólica genera en los sujetos la ilusión de ejercer influencia en la gestión o la política pero dicha participación no supone transformación alguna en las condiciones del poder; implica un “como sí”. </w:t>
      </w:r>
    </w:p>
    <w:p w:rsidR="009016BA" w:rsidRDefault="009016BA" w:rsidP="00342E13">
      <w:pPr>
        <w:pStyle w:val="Sinespaciado"/>
        <w:jc w:val="both"/>
      </w:pPr>
      <w:r>
        <w:t xml:space="preserve">Para </w:t>
      </w:r>
      <w:proofErr w:type="spellStart"/>
      <w:r>
        <w:t>Sirvent</w:t>
      </w:r>
      <w:proofErr w:type="spellEnd"/>
      <w:r>
        <w:t xml:space="preserve"> la participación real no “brota” por generación espontánea y no es tampoco una concesión de la autoridad que la “otorga” o la “retira”. Es una necesidad y un derecho que se aprende y se conquista y que permite articular y orientar demandas colectivas; entendiendo a las mismas como “demandas sociales” que expresan de manera organizada necesidades y reivindicaciones que los miembros de un grupo social buscan implementar a través de decisiones institucionales y / o públicas.</w:t>
      </w:r>
    </w:p>
    <w:p w:rsidR="009016BA" w:rsidRDefault="009016BA" w:rsidP="00342E13">
      <w:pPr>
        <w:pStyle w:val="Sinespaciado"/>
        <w:jc w:val="both"/>
      </w:pPr>
    </w:p>
    <w:p w:rsidR="001550F5" w:rsidRPr="0096131C" w:rsidRDefault="0077165F" w:rsidP="001550F5">
      <w:pPr>
        <w:jc w:val="both"/>
        <w:rPr>
          <w:rFonts w:cs="Arial"/>
          <w:lang w:val="es-AR"/>
        </w:rPr>
      </w:pPr>
      <w:r>
        <w:rPr>
          <w:rFonts w:cs="Arial"/>
          <w:lang w:val="es-AR"/>
        </w:rPr>
        <w:t>Correspondería</w:t>
      </w:r>
      <w:r w:rsidR="009016BA">
        <w:rPr>
          <w:rFonts w:cs="Arial"/>
          <w:lang w:val="es-AR"/>
        </w:rPr>
        <w:t>, en estos contextos,</w:t>
      </w:r>
      <w:r w:rsidR="001550F5">
        <w:rPr>
          <w:rFonts w:cs="Arial"/>
          <w:lang w:val="es-AR"/>
        </w:rPr>
        <w:t xml:space="preserve"> dis</w:t>
      </w:r>
      <w:r w:rsidR="001550F5" w:rsidRPr="006D2D65">
        <w:rPr>
          <w:rFonts w:cs="Arial"/>
          <w:lang w:val="es-AR"/>
        </w:rPr>
        <w:t>cutir la noción cerrada y monolítica de Hegemonía como “consenso ideológico” (Scott: 1990). Existe una fragilidad de la Hegemonía, como un proceso disputado y político de dominación y lucha. El Estado se reconstituye permanentemente a partir de “campos de fuerza” en términos de procesos (Thompson: 1978); donde se articulan complejamente demandas, tensiones y disputas.</w:t>
      </w:r>
      <w:r w:rsidR="00364F23">
        <w:rPr>
          <w:rFonts w:cs="Arial"/>
          <w:lang w:val="es-AR"/>
        </w:rPr>
        <w:t xml:space="preserve"> El ejercicio del poder puede implicar la toma de decisiones efectiva a través de una orden o una ley, pero también se manifiesta en forma velada: a partir de procesos de no-decisiones que ahogan reivindicaciones o construyendo procesos de aprendizaje social que inhiben la visualización y comprensión de los derechos humanos y la justicia social, ocultando y negando alternativas de transformación (</w:t>
      </w:r>
      <w:proofErr w:type="spellStart"/>
      <w:r w:rsidR="00364F23">
        <w:rPr>
          <w:rFonts w:cs="Arial"/>
          <w:lang w:val="es-AR"/>
        </w:rPr>
        <w:t>Sirvent</w:t>
      </w:r>
      <w:proofErr w:type="spellEnd"/>
      <w:r w:rsidR="00364F23">
        <w:rPr>
          <w:rFonts w:cs="Arial"/>
          <w:lang w:val="es-AR"/>
        </w:rPr>
        <w:t>: 1998).</w:t>
      </w:r>
    </w:p>
    <w:p w:rsidR="001550F5" w:rsidRDefault="001550F5" w:rsidP="001550F5">
      <w:pPr>
        <w:spacing w:after="0"/>
        <w:jc w:val="both"/>
        <w:rPr>
          <w:rFonts w:cs="Arial"/>
          <w:lang w:val="es-AR"/>
        </w:rPr>
      </w:pPr>
      <w:r w:rsidRPr="006D2D65">
        <w:rPr>
          <w:rFonts w:cs="Arial"/>
          <w:lang w:val="es-AR"/>
        </w:rPr>
        <w:t>Partir de un enfoque procesual, implica no hacer hincapié en definiciones cerradas ni tipol</w:t>
      </w:r>
      <w:r w:rsidR="002237D0">
        <w:rPr>
          <w:rFonts w:cs="Arial"/>
          <w:lang w:val="es-AR"/>
        </w:rPr>
        <w:t>ogías, sino analizar el marco</w:t>
      </w:r>
      <w:r w:rsidRPr="006D2D65">
        <w:rPr>
          <w:rFonts w:cs="Arial"/>
          <w:lang w:val="es-AR"/>
        </w:rPr>
        <w:t xml:space="preserve"> histórico-social y material de emergencia, desarrollo y consolidación de las estructuras estatales.</w:t>
      </w:r>
    </w:p>
    <w:p w:rsidR="001550F5" w:rsidRPr="002054BF" w:rsidRDefault="001550F5" w:rsidP="001550F5">
      <w:pPr>
        <w:pStyle w:val="Sinespaciado"/>
        <w:jc w:val="both"/>
        <w:rPr>
          <w:lang w:val="es-AR"/>
        </w:rPr>
      </w:pPr>
    </w:p>
    <w:p w:rsidR="001550F5" w:rsidRPr="006D2D65" w:rsidRDefault="001550F5" w:rsidP="001550F5">
      <w:pPr>
        <w:spacing w:after="0"/>
        <w:jc w:val="both"/>
        <w:rPr>
          <w:rFonts w:cs="Arial"/>
          <w:lang w:val="es-AR"/>
        </w:rPr>
      </w:pPr>
      <w:r w:rsidRPr="006D2D65">
        <w:rPr>
          <w:rFonts w:cs="Arial"/>
          <w:lang w:val="es-AR"/>
        </w:rPr>
        <w:t>Finalmente</w:t>
      </w:r>
      <w:r>
        <w:rPr>
          <w:rFonts w:cs="Arial"/>
          <w:lang w:val="es-AR"/>
        </w:rPr>
        <w:t>, desde un amplio enfoque antropológico,</w:t>
      </w:r>
      <w:r w:rsidRPr="006D2D65">
        <w:rPr>
          <w:rFonts w:cs="Arial"/>
          <w:lang w:val="es-AR"/>
        </w:rPr>
        <w:t xml:space="preserve"> debemos reconoc</w:t>
      </w:r>
      <w:r>
        <w:rPr>
          <w:rFonts w:cs="Arial"/>
          <w:lang w:val="es-AR"/>
        </w:rPr>
        <w:t>er</w:t>
      </w:r>
      <w:r w:rsidRPr="006D2D65">
        <w:rPr>
          <w:rFonts w:cs="Arial"/>
          <w:lang w:val="es-AR"/>
        </w:rPr>
        <w:t xml:space="preserve"> “el contenido profundamente cultural de las actividades e instituciones del Estado y la naturaleza y extensión de la regulación estatal de las formas culturales”. (</w:t>
      </w:r>
      <w:proofErr w:type="spellStart"/>
      <w:r w:rsidRPr="006D2D65">
        <w:rPr>
          <w:rFonts w:cs="Arial"/>
          <w:lang w:val="es-AR"/>
        </w:rPr>
        <w:t>Corrigan</w:t>
      </w:r>
      <w:proofErr w:type="spellEnd"/>
      <w:r w:rsidRPr="006D2D65">
        <w:rPr>
          <w:rFonts w:cs="Arial"/>
          <w:lang w:val="es-AR"/>
        </w:rPr>
        <w:t xml:space="preserve"> y </w:t>
      </w:r>
      <w:proofErr w:type="spellStart"/>
      <w:r w:rsidRPr="006D2D65">
        <w:rPr>
          <w:rFonts w:cs="Arial"/>
          <w:lang w:val="es-AR"/>
        </w:rPr>
        <w:t>Sayer</w:t>
      </w:r>
      <w:proofErr w:type="spellEnd"/>
      <w:r w:rsidRPr="006D2D65">
        <w:rPr>
          <w:rFonts w:cs="Arial"/>
          <w:lang w:val="es-AR"/>
        </w:rPr>
        <w:t xml:space="preserve">: 2007). </w:t>
      </w:r>
    </w:p>
    <w:p w:rsidR="001550F5" w:rsidRPr="00440744" w:rsidRDefault="001550F5" w:rsidP="001550F5">
      <w:pPr>
        <w:jc w:val="both"/>
        <w:rPr>
          <w:rFonts w:ascii="Arial" w:hAnsi="Arial" w:cs="Arial"/>
          <w:b/>
          <w:lang w:val="es-AR"/>
        </w:rPr>
      </w:pPr>
    </w:p>
    <w:p w:rsidR="001550F5" w:rsidRDefault="001550F5" w:rsidP="001550F5">
      <w:pPr>
        <w:jc w:val="both"/>
        <w:rPr>
          <w:rFonts w:cs="Arial"/>
          <w:lang w:val="es-AR"/>
        </w:rPr>
      </w:pPr>
      <w:r>
        <w:rPr>
          <w:rFonts w:cs="Arial"/>
          <w:lang w:val="es-AR"/>
        </w:rPr>
        <w:t>A modo de ejemplo de propuesta transcrib</w:t>
      </w:r>
      <w:r w:rsidR="005B2F4F">
        <w:rPr>
          <w:rFonts w:cs="Arial"/>
          <w:lang w:val="es-AR"/>
        </w:rPr>
        <w:t>imos</w:t>
      </w:r>
      <w:r>
        <w:rPr>
          <w:rFonts w:cs="Arial"/>
          <w:lang w:val="es-AR"/>
        </w:rPr>
        <w:t xml:space="preserve"> una </w:t>
      </w:r>
      <w:proofErr w:type="spellStart"/>
      <w:r>
        <w:rPr>
          <w:rFonts w:cs="Arial"/>
          <w:lang w:val="es-AR"/>
        </w:rPr>
        <w:t>microclase</w:t>
      </w:r>
      <w:proofErr w:type="spellEnd"/>
      <w:r w:rsidR="005B2F4F">
        <w:rPr>
          <w:rStyle w:val="Refdenotaalpie"/>
          <w:rFonts w:cs="Arial"/>
          <w:lang w:val="es-AR"/>
        </w:rPr>
        <w:footnoteReference w:id="9"/>
      </w:r>
      <w:r>
        <w:rPr>
          <w:rFonts w:cs="Arial"/>
          <w:lang w:val="es-AR"/>
        </w:rPr>
        <w:t xml:space="preserve"> realizada por alumnos de didáctica para antropología en torno a la Ley de Matrimonio Igualitario. </w:t>
      </w:r>
    </w:p>
    <w:p w:rsidR="0057055E" w:rsidRPr="005B2F4F" w:rsidRDefault="001550F5" w:rsidP="005B2F4F">
      <w:pPr>
        <w:jc w:val="both"/>
        <w:rPr>
          <w:rFonts w:cs="Arial"/>
          <w:lang w:val="es-AR"/>
        </w:rPr>
      </w:pPr>
      <w:r>
        <w:rPr>
          <w:rFonts w:cs="Arial"/>
          <w:lang w:val="es-AR"/>
        </w:rPr>
        <w:t>Contexto de producción del documento: se discutió mucho en torno a los recursos, a los argumentos de los distintos grupos y a la pertinencia de enunciar el conflicto en términos de la teoría del actor o no.</w:t>
      </w:r>
    </w:p>
    <w:p w:rsidR="0057055E" w:rsidRDefault="0057055E" w:rsidP="001550F5">
      <w:pPr>
        <w:jc w:val="center"/>
        <w:rPr>
          <w:rFonts w:ascii="Arial" w:hAnsi="Arial" w:cs="Arial"/>
          <w:lang w:val="es-AR"/>
        </w:rPr>
      </w:pPr>
    </w:p>
    <w:p w:rsidR="0003536E" w:rsidRDefault="0003536E" w:rsidP="001550F5">
      <w:pPr>
        <w:jc w:val="center"/>
        <w:rPr>
          <w:rFonts w:ascii="Arial" w:hAnsi="Arial" w:cs="Arial"/>
          <w:lang w:val="es-AR"/>
        </w:rPr>
      </w:pPr>
    </w:p>
    <w:p w:rsidR="001550F5" w:rsidRPr="001B160F" w:rsidRDefault="001550F5" w:rsidP="001550F5">
      <w:pPr>
        <w:jc w:val="center"/>
        <w:rPr>
          <w:rFonts w:ascii="Arial" w:hAnsi="Arial" w:cs="Arial"/>
          <w:b/>
          <w:sz w:val="18"/>
          <w:szCs w:val="18"/>
          <w:highlight w:val="yellow"/>
          <w:lang w:val="es-AR"/>
        </w:rPr>
      </w:pPr>
      <w:r>
        <w:rPr>
          <w:rFonts w:ascii="Arial" w:hAnsi="Arial" w:cs="Arial"/>
          <w:b/>
          <w:sz w:val="18"/>
          <w:szCs w:val="18"/>
          <w:highlight w:val="yellow"/>
          <w:lang w:val="es-AR"/>
        </w:rPr>
        <w:t>Anexo</w:t>
      </w:r>
    </w:p>
    <w:p w:rsidR="001550F5" w:rsidRDefault="001550F5" w:rsidP="001550F5">
      <w:pPr>
        <w:jc w:val="center"/>
        <w:rPr>
          <w:rFonts w:ascii="Arial" w:hAnsi="Arial" w:cs="Arial"/>
          <w:b/>
          <w:sz w:val="18"/>
          <w:szCs w:val="18"/>
          <w:lang w:val="es-AR"/>
        </w:rPr>
      </w:pPr>
    </w:p>
    <w:p w:rsidR="001550F5" w:rsidRDefault="001550F5" w:rsidP="001550F5">
      <w:pPr>
        <w:jc w:val="center"/>
        <w:rPr>
          <w:rFonts w:ascii="Arial" w:hAnsi="Arial" w:cs="Arial"/>
          <w:sz w:val="18"/>
          <w:szCs w:val="18"/>
          <w:lang w:val="es-AR"/>
        </w:rPr>
      </w:pPr>
      <w:r>
        <w:rPr>
          <w:rFonts w:ascii="Arial" w:hAnsi="Arial" w:cs="Arial"/>
          <w:sz w:val="18"/>
          <w:szCs w:val="18"/>
          <w:lang w:val="es-AR"/>
        </w:rPr>
        <w:t xml:space="preserve">Actividad de la primera </w:t>
      </w:r>
      <w:proofErr w:type="spellStart"/>
      <w:r>
        <w:rPr>
          <w:rFonts w:ascii="Arial" w:hAnsi="Arial" w:cs="Arial"/>
          <w:sz w:val="18"/>
          <w:szCs w:val="18"/>
          <w:lang w:val="es-AR"/>
        </w:rPr>
        <w:t>microclase</w:t>
      </w:r>
      <w:proofErr w:type="spellEnd"/>
      <w:r>
        <w:rPr>
          <w:rFonts w:ascii="Arial" w:hAnsi="Arial" w:cs="Arial"/>
          <w:sz w:val="18"/>
          <w:szCs w:val="18"/>
          <w:lang w:val="es-AR"/>
        </w:rPr>
        <w:t xml:space="preserve"> para un grupo de 1er año de Formación Ética y Ciudadana </w:t>
      </w:r>
    </w:p>
    <w:p w:rsidR="001550F5" w:rsidRPr="00B60306" w:rsidRDefault="001550F5" w:rsidP="001550F5">
      <w:pPr>
        <w:jc w:val="center"/>
        <w:rPr>
          <w:rFonts w:ascii="Arial" w:hAnsi="Arial" w:cs="Arial"/>
          <w:sz w:val="18"/>
          <w:szCs w:val="18"/>
          <w:lang w:val="es-AR"/>
        </w:rPr>
      </w:pPr>
      <w:r>
        <w:rPr>
          <w:rFonts w:ascii="Arial" w:hAnsi="Arial" w:cs="Arial"/>
          <w:sz w:val="18"/>
          <w:szCs w:val="18"/>
          <w:lang w:val="es-AR"/>
        </w:rPr>
        <w:t>Tema: Derechos y libertades</w:t>
      </w:r>
    </w:p>
    <w:p w:rsidR="001550F5" w:rsidRDefault="001550F5" w:rsidP="001550F5">
      <w:pPr>
        <w:jc w:val="both"/>
        <w:rPr>
          <w:rFonts w:ascii="Arial" w:hAnsi="Arial" w:cs="Arial"/>
          <w:b/>
          <w:sz w:val="18"/>
          <w:szCs w:val="18"/>
          <w:lang w:val="es-AR"/>
        </w:rPr>
      </w:pPr>
    </w:p>
    <w:p w:rsidR="001550F5" w:rsidRDefault="001550F5" w:rsidP="001550F5">
      <w:pPr>
        <w:jc w:val="both"/>
        <w:rPr>
          <w:rFonts w:ascii="Arial" w:hAnsi="Arial" w:cs="Arial"/>
          <w:b/>
          <w:sz w:val="18"/>
          <w:szCs w:val="18"/>
          <w:lang w:val="es-AR"/>
        </w:rPr>
      </w:pPr>
    </w:p>
    <w:p w:rsidR="001550F5" w:rsidRDefault="001550F5" w:rsidP="001550F5">
      <w:pPr>
        <w:jc w:val="both"/>
        <w:rPr>
          <w:rFonts w:ascii="Arial" w:hAnsi="Arial" w:cs="Arial"/>
          <w:sz w:val="18"/>
          <w:szCs w:val="18"/>
          <w:lang w:val="es-AR"/>
        </w:rPr>
      </w:pPr>
      <w:r>
        <w:rPr>
          <w:rFonts w:ascii="Arial" w:hAnsi="Arial" w:cs="Arial"/>
          <w:sz w:val="18"/>
          <w:szCs w:val="18"/>
          <w:lang w:val="es-AR"/>
        </w:rPr>
        <w:t xml:space="preserve">Problema: Articular el tema de derechos, a través de un caso concreto: el “Matrimonio Igualitario”. Entendiéndolo como un derecho ganado por la movilización y la lucha. </w:t>
      </w:r>
    </w:p>
    <w:p w:rsidR="001550F5" w:rsidRDefault="001550F5" w:rsidP="001550F5">
      <w:pPr>
        <w:jc w:val="both"/>
        <w:rPr>
          <w:rFonts w:ascii="Arial" w:hAnsi="Arial" w:cs="Arial"/>
          <w:sz w:val="18"/>
          <w:szCs w:val="18"/>
          <w:lang w:val="es-AR"/>
        </w:rPr>
      </w:pPr>
      <w:r>
        <w:rPr>
          <w:rFonts w:ascii="Arial" w:hAnsi="Arial" w:cs="Arial"/>
          <w:sz w:val="18"/>
          <w:szCs w:val="18"/>
          <w:lang w:val="es-AR"/>
        </w:rPr>
        <w:t>Se analiza el conflicto a través de dos imágenes de movilizaciones del año 2010: una de un grupo de militantes católicos y una marcha del colectivo LGTBIQ.</w:t>
      </w:r>
    </w:p>
    <w:p w:rsidR="001550F5" w:rsidRDefault="001550F5" w:rsidP="001550F5">
      <w:pPr>
        <w:jc w:val="both"/>
        <w:rPr>
          <w:rFonts w:ascii="Arial" w:hAnsi="Arial" w:cs="Arial"/>
          <w:sz w:val="18"/>
          <w:szCs w:val="18"/>
          <w:lang w:val="es-AR"/>
        </w:rPr>
      </w:pPr>
    </w:p>
    <w:p w:rsidR="001550F5" w:rsidRDefault="001550F5" w:rsidP="001550F5">
      <w:pPr>
        <w:jc w:val="both"/>
        <w:rPr>
          <w:rFonts w:ascii="Arial" w:hAnsi="Arial" w:cs="Arial"/>
          <w:sz w:val="18"/>
          <w:szCs w:val="18"/>
          <w:lang w:val="es-AR"/>
        </w:rPr>
      </w:pPr>
      <w:r>
        <w:rPr>
          <w:rFonts w:ascii="Arial" w:hAnsi="Arial" w:cs="Arial"/>
          <w:sz w:val="18"/>
          <w:szCs w:val="18"/>
          <w:lang w:val="es-AR"/>
        </w:rPr>
        <w:t>Dividen al grupo en dos y se pide el análisis de la imagen asignada a partir de 3 premisas:</w:t>
      </w:r>
    </w:p>
    <w:p w:rsidR="001550F5" w:rsidRDefault="001550F5" w:rsidP="001550F5">
      <w:pPr>
        <w:jc w:val="both"/>
        <w:rPr>
          <w:rFonts w:ascii="Arial" w:hAnsi="Arial" w:cs="Arial"/>
          <w:sz w:val="18"/>
          <w:szCs w:val="18"/>
          <w:lang w:val="es-AR"/>
        </w:rPr>
      </w:pPr>
    </w:p>
    <w:p w:rsidR="001550F5" w:rsidRDefault="001550F5" w:rsidP="001550F5">
      <w:pPr>
        <w:pStyle w:val="Prrafodelista"/>
        <w:numPr>
          <w:ilvl w:val="0"/>
          <w:numId w:val="4"/>
        </w:numPr>
        <w:spacing w:after="0"/>
        <w:jc w:val="both"/>
        <w:rPr>
          <w:rFonts w:ascii="Arial" w:hAnsi="Arial" w:cs="Arial"/>
          <w:sz w:val="18"/>
          <w:szCs w:val="18"/>
          <w:lang w:val="es-AR"/>
        </w:rPr>
      </w:pPr>
      <w:r>
        <w:rPr>
          <w:rFonts w:ascii="Arial" w:hAnsi="Arial" w:cs="Arial"/>
          <w:sz w:val="18"/>
          <w:szCs w:val="18"/>
          <w:lang w:val="es-AR"/>
        </w:rPr>
        <w:t>¿Qué grupos protagonizan el conflicto?</w:t>
      </w:r>
    </w:p>
    <w:p w:rsidR="001550F5" w:rsidRDefault="001550F5" w:rsidP="001550F5">
      <w:pPr>
        <w:pStyle w:val="Prrafodelista"/>
        <w:numPr>
          <w:ilvl w:val="0"/>
          <w:numId w:val="4"/>
        </w:numPr>
        <w:spacing w:after="0"/>
        <w:jc w:val="both"/>
        <w:rPr>
          <w:rFonts w:ascii="Arial" w:hAnsi="Arial" w:cs="Arial"/>
          <w:sz w:val="18"/>
          <w:szCs w:val="18"/>
          <w:lang w:val="es-AR"/>
        </w:rPr>
      </w:pPr>
      <w:r>
        <w:rPr>
          <w:rFonts w:ascii="Arial" w:hAnsi="Arial" w:cs="Arial"/>
          <w:sz w:val="18"/>
          <w:szCs w:val="18"/>
          <w:lang w:val="es-AR"/>
        </w:rPr>
        <w:t>¿Qué derecho manifiestan defender?</w:t>
      </w:r>
    </w:p>
    <w:p w:rsidR="001550F5" w:rsidRDefault="001550F5" w:rsidP="001550F5">
      <w:pPr>
        <w:pStyle w:val="Prrafodelista"/>
        <w:numPr>
          <w:ilvl w:val="0"/>
          <w:numId w:val="4"/>
        </w:numPr>
        <w:spacing w:after="0"/>
        <w:jc w:val="both"/>
        <w:rPr>
          <w:rFonts w:ascii="Arial" w:hAnsi="Arial" w:cs="Arial"/>
          <w:sz w:val="18"/>
          <w:szCs w:val="18"/>
          <w:lang w:val="es-AR"/>
        </w:rPr>
      </w:pPr>
      <w:r>
        <w:rPr>
          <w:rFonts w:ascii="Arial" w:hAnsi="Arial" w:cs="Arial"/>
          <w:sz w:val="18"/>
          <w:szCs w:val="18"/>
          <w:lang w:val="es-AR"/>
        </w:rPr>
        <w:t>¿Qué libertades están en juego?</w:t>
      </w:r>
    </w:p>
    <w:p w:rsidR="001550F5" w:rsidRDefault="001550F5" w:rsidP="001550F5">
      <w:pPr>
        <w:jc w:val="both"/>
        <w:rPr>
          <w:rFonts w:ascii="Arial" w:hAnsi="Arial" w:cs="Arial"/>
          <w:sz w:val="18"/>
          <w:szCs w:val="18"/>
          <w:lang w:val="es-AR"/>
        </w:rPr>
      </w:pPr>
    </w:p>
    <w:p w:rsidR="001550F5" w:rsidRDefault="001550F5" w:rsidP="001550F5">
      <w:pPr>
        <w:jc w:val="both"/>
        <w:rPr>
          <w:rFonts w:ascii="Arial" w:hAnsi="Arial" w:cs="Arial"/>
          <w:sz w:val="18"/>
          <w:szCs w:val="18"/>
          <w:lang w:val="es-AR"/>
        </w:rPr>
      </w:pPr>
      <w:r>
        <w:rPr>
          <w:rFonts w:ascii="Arial" w:hAnsi="Arial" w:cs="Arial"/>
          <w:sz w:val="18"/>
          <w:szCs w:val="18"/>
          <w:lang w:val="es-AR"/>
        </w:rPr>
        <w:t>A partir de esta discusión, analizar cómo se contraponen los derechos y cómo pueden entenderse a través de la idea de relaciones de oposición y lucha. Se reparten fragmentos de noticias de diarios (algunos de claro corte conservador, otros neutrales y finalmente visiones a favor de la ley) y se realiza un breve debate.</w:t>
      </w:r>
    </w:p>
    <w:p w:rsidR="001550F5" w:rsidRDefault="001550F5" w:rsidP="001550F5">
      <w:pPr>
        <w:jc w:val="both"/>
        <w:rPr>
          <w:rFonts w:ascii="Arial" w:hAnsi="Arial" w:cs="Arial"/>
          <w:sz w:val="18"/>
          <w:szCs w:val="18"/>
          <w:lang w:val="es-AR"/>
        </w:rPr>
      </w:pPr>
    </w:p>
    <w:p w:rsidR="001550F5" w:rsidRDefault="001550F5" w:rsidP="001550F5">
      <w:pPr>
        <w:jc w:val="both"/>
        <w:rPr>
          <w:rFonts w:ascii="Arial" w:hAnsi="Arial" w:cs="Arial"/>
          <w:sz w:val="18"/>
          <w:szCs w:val="18"/>
          <w:lang w:val="es-AR"/>
        </w:rPr>
      </w:pPr>
      <w:r>
        <w:rPr>
          <w:rFonts w:ascii="Arial" w:hAnsi="Arial" w:cs="Arial"/>
          <w:sz w:val="18"/>
          <w:szCs w:val="18"/>
          <w:lang w:val="es-AR"/>
        </w:rPr>
        <w:t>¿Qué lugar ocupa el Estado en este conflicto? Discutir la jerarquización de los derechos en pugna. (Derecho a la familia “tradicional” vs. La igualdad de derechos ante la ley).</w:t>
      </w:r>
    </w:p>
    <w:p w:rsidR="001550F5" w:rsidRDefault="001550F5" w:rsidP="001550F5">
      <w:pPr>
        <w:jc w:val="both"/>
        <w:rPr>
          <w:rFonts w:ascii="Arial" w:hAnsi="Arial" w:cs="Arial"/>
          <w:sz w:val="18"/>
          <w:szCs w:val="18"/>
          <w:lang w:val="es-AR"/>
        </w:rPr>
      </w:pPr>
    </w:p>
    <w:p w:rsidR="001550F5" w:rsidRDefault="001550F5" w:rsidP="001550F5">
      <w:pPr>
        <w:jc w:val="both"/>
        <w:rPr>
          <w:rFonts w:ascii="Arial" w:hAnsi="Arial" w:cs="Arial"/>
          <w:sz w:val="18"/>
          <w:szCs w:val="18"/>
          <w:lang w:val="es-AR"/>
        </w:rPr>
      </w:pPr>
      <w:r>
        <w:rPr>
          <w:rFonts w:ascii="Arial" w:hAnsi="Arial" w:cs="Arial"/>
          <w:sz w:val="18"/>
          <w:szCs w:val="18"/>
          <w:lang w:val="es-AR"/>
        </w:rPr>
        <w:t xml:space="preserve">Finalmente se analiza la manera en que los diversos grupos ponen en juego valores, </w:t>
      </w:r>
      <w:r w:rsidRPr="00E873D7">
        <w:rPr>
          <w:rFonts w:ascii="Arial" w:hAnsi="Arial" w:cs="Arial"/>
          <w:b/>
          <w:i/>
          <w:sz w:val="18"/>
          <w:szCs w:val="18"/>
          <w:lang w:val="es-AR"/>
        </w:rPr>
        <w:t>emociones</w:t>
      </w:r>
      <w:r>
        <w:rPr>
          <w:rFonts w:ascii="Arial" w:hAnsi="Arial" w:cs="Arial"/>
          <w:sz w:val="18"/>
          <w:szCs w:val="18"/>
          <w:lang w:val="es-AR"/>
        </w:rPr>
        <w:t xml:space="preserve"> y razonamientos sobre un mismo tema y debatir la manera en la que los derechos son construidos histórica y socialmente.</w:t>
      </w:r>
    </w:p>
    <w:p w:rsidR="001550F5" w:rsidRPr="00412C5C" w:rsidRDefault="001550F5" w:rsidP="001550F5">
      <w:pPr>
        <w:jc w:val="both"/>
        <w:rPr>
          <w:rFonts w:ascii="Arial" w:hAnsi="Arial" w:cs="Arial"/>
          <w:sz w:val="18"/>
          <w:szCs w:val="18"/>
          <w:lang w:val="es-AR"/>
        </w:rPr>
      </w:pPr>
      <w:r>
        <w:rPr>
          <w:rFonts w:ascii="Arial" w:hAnsi="Arial" w:cs="Arial"/>
          <w:sz w:val="18"/>
          <w:szCs w:val="18"/>
          <w:lang w:val="es-AR"/>
        </w:rPr>
        <w:t>Nota: en el cuadro aparece la caracterización de “actores” que tanto discutimos pero se lo hace con la intención de hacer un “estado de situación” en torno a la sanción de la ley.</w:t>
      </w:r>
    </w:p>
    <w:p w:rsidR="001550F5" w:rsidRDefault="001550F5" w:rsidP="001550F5">
      <w:pPr>
        <w:jc w:val="both"/>
        <w:rPr>
          <w:rFonts w:ascii="Arial" w:hAnsi="Arial" w:cs="Arial"/>
          <w:sz w:val="18"/>
          <w:szCs w:val="18"/>
          <w:lang w:val="es-AR"/>
        </w:rPr>
      </w:pPr>
    </w:p>
    <w:p w:rsidR="00BC0A4B" w:rsidRDefault="00BC0A4B" w:rsidP="001550F5">
      <w:pPr>
        <w:jc w:val="both"/>
        <w:rPr>
          <w:rFonts w:ascii="Arial" w:hAnsi="Arial" w:cs="Arial"/>
          <w:sz w:val="18"/>
          <w:szCs w:val="18"/>
          <w:lang w:val="es-AR"/>
        </w:rPr>
      </w:pPr>
    </w:p>
    <w:p w:rsidR="00BC0A4B" w:rsidRDefault="00BC0A4B" w:rsidP="001550F5">
      <w:pPr>
        <w:jc w:val="both"/>
        <w:rPr>
          <w:rFonts w:ascii="Arial" w:hAnsi="Arial" w:cs="Arial"/>
          <w:sz w:val="18"/>
          <w:szCs w:val="18"/>
          <w:lang w:val="es-AR"/>
        </w:rPr>
      </w:pPr>
    </w:p>
    <w:p w:rsidR="00BC0A4B" w:rsidRPr="000612D0" w:rsidRDefault="00BC0A4B" w:rsidP="001550F5">
      <w:pPr>
        <w:jc w:val="both"/>
        <w:rPr>
          <w:rFonts w:ascii="Arial" w:hAnsi="Arial" w:cs="Arial"/>
          <w:sz w:val="18"/>
          <w:szCs w:val="18"/>
          <w:lang w:val="es-AR"/>
        </w:rPr>
      </w:pPr>
    </w:p>
    <w:p w:rsidR="001550F5" w:rsidRDefault="001550F5" w:rsidP="001550F5">
      <w:pPr>
        <w:jc w:val="both"/>
        <w:rPr>
          <w:rFonts w:ascii="Arial" w:hAnsi="Arial" w:cs="Arial"/>
          <w:sz w:val="18"/>
          <w:szCs w:val="18"/>
          <w:lang w:val="es-AR"/>
        </w:rPr>
      </w:pPr>
      <w:r>
        <w:rPr>
          <w:rFonts w:ascii="Arial" w:hAnsi="Arial" w:cs="Arial"/>
          <w:noProof/>
          <w:sz w:val="18"/>
          <w:szCs w:val="18"/>
          <w:lang w:val="es-AR" w:eastAsia="es-AR"/>
        </w:rPr>
        <w:lastRenderedPageBreak/>
        <w:drawing>
          <wp:inline distT="0" distB="0" distL="0" distR="0" wp14:anchorId="2168CA13" wp14:editId="4C1D0E86">
            <wp:extent cx="5943600" cy="468376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adro derechos estado 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683760"/>
                    </a:xfrm>
                    <a:prstGeom prst="rect">
                      <a:avLst/>
                    </a:prstGeom>
                  </pic:spPr>
                </pic:pic>
              </a:graphicData>
            </a:graphic>
          </wp:inline>
        </w:drawing>
      </w:r>
    </w:p>
    <w:p w:rsidR="001550F5" w:rsidRPr="00254E88" w:rsidRDefault="0003536E" w:rsidP="0003536E">
      <w:r>
        <w:br w:type="page"/>
      </w:r>
    </w:p>
    <w:p w:rsidR="005B2F4F" w:rsidRPr="00FA35D9" w:rsidRDefault="0056451D" w:rsidP="00053A2B">
      <w:pPr>
        <w:pStyle w:val="Sinespaciado"/>
        <w:jc w:val="center"/>
        <w:rPr>
          <w:b/>
        </w:rPr>
      </w:pPr>
      <w:r w:rsidRPr="00FA35D9">
        <w:rPr>
          <w:b/>
        </w:rPr>
        <w:lastRenderedPageBreak/>
        <w:t>3.- ¿Qué sucede, en tanto, en relación al concepto de “Nación”?</w:t>
      </w:r>
    </w:p>
    <w:p w:rsidR="0056451D" w:rsidRDefault="0056451D" w:rsidP="001550F5">
      <w:pPr>
        <w:pStyle w:val="Sinespaciado"/>
        <w:jc w:val="both"/>
      </w:pPr>
    </w:p>
    <w:p w:rsidR="00BC0A4B" w:rsidRDefault="00BC0A4B" w:rsidP="001550F5">
      <w:pPr>
        <w:pStyle w:val="Sinespaciado"/>
        <w:jc w:val="both"/>
      </w:pPr>
    </w:p>
    <w:p w:rsidR="0056451D" w:rsidRDefault="0056451D" w:rsidP="001550F5">
      <w:pPr>
        <w:pStyle w:val="Sinespaciado"/>
        <w:jc w:val="both"/>
      </w:pPr>
      <w:r>
        <w:t xml:space="preserve">En este tema la discusión es aún más espinosa ya que la idea de Nación casi siempre se asocia a movimientos </w:t>
      </w:r>
      <w:r w:rsidR="00A1106B">
        <w:t xml:space="preserve">étnicos y lingüísticos que apelan a fuertes connotaciones </w:t>
      </w:r>
      <w:proofErr w:type="spellStart"/>
      <w:r w:rsidR="00A1106B">
        <w:t>identitarias</w:t>
      </w:r>
      <w:proofErr w:type="spellEnd"/>
      <w:r w:rsidR="00A1106B">
        <w:t xml:space="preserve"> teñidas de emocionalidad. A pesar del fuerte peso hegemónico de la visión oficial convertida en canon; los sentimientos, la tradición y la historia (mejor dicho, ciertos recuerdos y olvidos sesgados por múltipl</w:t>
      </w:r>
      <w:r w:rsidR="0003536E">
        <w:t>es representaciones y discursos</w:t>
      </w:r>
      <w:r w:rsidR="00A1106B">
        <w:t>) se intersectan en debates y discusiones entre distintos grupos que pugnan por la prevalencia de su propia visión en torno a “la Nación”.</w:t>
      </w:r>
    </w:p>
    <w:p w:rsidR="00A1106B" w:rsidRDefault="00A1106B" w:rsidP="001550F5">
      <w:pPr>
        <w:pStyle w:val="Sinespaciado"/>
        <w:jc w:val="both"/>
      </w:pPr>
    </w:p>
    <w:p w:rsidR="00A1106B" w:rsidRDefault="00575540" w:rsidP="001550F5">
      <w:pPr>
        <w:pStyle w:val="Sinespaciado"/>
        <w:jc w:val="both"/>
      </w:pPr>
      <w:r>
        <w:t>No vamos a desarrollar un debate acerca de si los discursos nacionalistas (pienso por ejemplo en la Europa actual) poseen la suficiente agencia para cambiar el mapa político contemporáneo</w:t>
      </w:r>
      <w:r>
        <w:rPr>
          <w:rStyle w:val="Refdenotaalpie"/>
        </w:rPr>
        <w:footnoteReference w:id="10"/>
      </w:r>
      <w:r>
        <w:t>. Lo que intentaremos es aportar claves para la comprensión de este complejo fenómeno.</w:t>
      </w:r>
    </w:p>
    <w:p w:rsidR="00575540" w:rsidRDefault="00575540" w:rsidP="001550F5">
      <w:pPr>
        <w:pStyle w:val="Sinespaciado"/>
        <w:jc w:val="both"/>
      </w:pPr>
    </w:p>
    <w:p w:rsidR="00575540" w:rsidRDefault="009C6B6D" w:rsidP="001550F5">
      <w:pPr>
        <w:pStyle w:val="Sinespaciado"/>
        <w:jc w:val="both"/>
      </w:pPr>
      <w:proofErr w:type="spellStart"/>
      <w:r>
        <w:t>Hobsbawm</w:t>
      </w:r>
      <w:proofErr w:type="spellEnd"/>
      <w:r>
        <w:t xml:space="preserve"> afirma que “los últimos dos siglos de la historia humana del planeta Tierra son incomprensibles si no se entiende un poco el término ‘nación’ y el vocabulario que de él se deriva”. Luego profundiza la idea al comentar que “las naciones no son tan antiguas como la historia” y que el sentido moderno de la palabra no se remonta más allá del siglo XVIII (</w:t>
      </w:r>
      <w:proofErr w:type="spellStart"/>
      <w:r>
        <w:t>Hobsbawm</w:t>
      </w:r>
      <w:proofErr w:type="spellEnd"/>
      <w:r>
        <w:t>, 1991: 9-11).</w:t>
      </w:r>
      <w:r w:rsidR="008B1A2A">
        <w:t xml:space="preserve"> Es decir la característica básica de este concepto es su modernidad.</w:t>
      </w:r>
    </w:p>
    <w:p w:rsidR="009C6B6D" w:rsidRDefault="009C6B6D" w:rsidP="001550F5">
      <w:pPr>
        <w:pStyle w:val="Sinespaciado"/>
        <w:jc w:val="both"/>
      </w:pPr>
    </w:p>
    <w:p w:rsidR="0002013F" w:rsidRDefault="0002013F" w:rsidP="001550F5">
      <w:pPr>
        <w:pStyle w:val="Sinespaciado"/>
        <w:jc w:val="both"/>
      </w:pPr>
      <w:r>
        <w:t>Hubo frecuentes intentos de determinar criterios objetivos de nacionalidad, o de explicar por qué ciertos grupos han llegado a convertirse en “naciones”</w:t>
      </w:r>
      <w:r w:rsidR="001A0701">
        <w:t xml:space="preserve">: la etnia, la lengua, el territorio común, un pasado compartido o cualquier otro rasgo psicológico o cultural. Estas supuestas definiciones objetivas han fracasado por su falta de operatividad conceptual al centrarse en criterios borrosos, ambiguos y cambiantes (pensemos en el caso de algunos grupos en Argentina que están viviendo un proceso de </w:t>
      </w:r>
      <w:proofErr w:type="spellStart"/>
      <w:r w:rsidR="001A0701">
        <w:t>reetnización</w:t>
      </w:r>
      <w:proofErr w:type="spellEnd"/>
      <w:r w:rsidR="001A0701">
        <w:t xml:space="preserve"> y articulación política en torno a la idea de “nación” impensado hace sólo un par de décadas atrás).</w:t>
      </w:r>
    </w:p>
    <w:p w:rsidR="00E37E20" w:rsidRDefault="00E37E20" w:rsidP="001550F5">
      <w:pPr>
        <w:pStyle w:val="Sinespaciado"/>
        <w:jc w:val="both"/>
      </w:pPr>
    </w:p>
    <w:p w:rsidR="00E37E20" w:rsidRDefault="00E37E20" w:rsidP="00E37E20">
      <w:pPr>
        <w:pStyle w:val="Sinespaciado"/>
        <w:jc w:val="both"/>
      </w:pPr>
      <w:r w:rsidRPr="008B1A2A">
        <w:t>La</w:t>
      </w:r>
      <w:r>
        <w:t xml:space="preserve"> mayoría de los estudiosos no considera a la “nación” como una entidad social primaria ni invariable. </w:t>
      </w:r>
      <w:proofErr w:type="spellStart"/>
      <w:r>
        <w:t>Gellner</w:t>
      </w:r>
      <w:proofErr w:type="spellEnd"/>
      <w:r>
        <w:t xml:space="preserve"> y </w:t>
      </w:r>
      <w:proofErr w:type="spellStart"/>
      <w:r>
        <w:t>Hobsbawm</w:t>
      </w:r>
      <w:proofErr w:type="spellEnd"/>
      <w:r>
        <w:t xml:space="preserve">, junto con </w:t>
      </w:r>
      <w:proofErr w:type="spellStart"/>
      <w:r>
        <w:t>Benedict</w:t>
      </w:r>
      <w:proofErr w:type="spellEnd"/>
      <w:r>
        <w:t xml:space="preserve"> Anderson, recalcan el elemento de </w:t>
      </w:r>
      <w:r>
        <w:rPr>
          <w:i/>
        </w:rPr>
        <w:t>artefacto, invención e ingeniería social que interviene en la construcción de naciones.</w:t>
      </w:r>
    </w:p>
    <w:p w:rsidR="00E37E20" w:rsidRDefault="00E37E20" w:rsidP="00E37E20">
      <w:pPr>
        <w:pStyle w:val="Sinespaciado"/>
        <w:jc w:val="both"/>
      </w:pPr>
      <w:r>
        <w:t>Para Anderson (1993) la nacionalidad o “calidad de nación” son “artefactos culturales de una clase particular” con una significación y legitimidad emocional profundas.</w:t>
      </w:r>
    </w:p>
    <w:p w:rsidR="00E37E20" w:rsidRDefault="00E37E20" w:rsidP="00E37E20">
      <w:pPr>
        <w:pStyle w:val="Sinespaciado"/>
        <w:jc w:val="both"/>
      </w:pPr>
      <w:r>
        <w:t>Propone una definición antropológica de “nación”: la concibe como “una comunidad política imaginada como inherentemente limitada y soberana</w:t>
      </w:r>
      <w:r w:rsidR="00CA4E55">
        <w:t>” (Anderson, 1993: 23).</w:t>
      </w:r>
    </w:p>
    <w:p w:rsidR="00CA4E55" w:rsidRDefault="00CA4E55" w:rsidP="00E37E20">
      <w:pPr>
        <w:pStyle w:val="Sinespaciado"/>
        <w:jc w:val="both"/>
      </w:pPr>
      <w:r>
        <w:t xml:space="preserve">Es </w:t>
      </w:r>
      <w:r>
        <w:rPr>
          <w:i/>
        </w:rPr>
        <w:t>imaginada</w:t>
      </w:r>
      <w:r>
        <w:t xml:space="preserve"> porque los miembros de una nación no conocerán jamás a la mayoría de sus compatriotas. La nación se imagina </w:t>
      </w:r>
      <w:r>
        <w:rPr>
          <w:i/>
        </w:rPr>
        <w:t>limitada</w:t>
      </w:r>
      <w:r>
        <w:t xml:space="preserve"> porque incluso la mayor de ellas, que alberga a más de mil millones de habitantes, tiene fronteras finitas; existe un principio básico de unidad y finitud territorial.</w:t>
      </w:r>
      <w:r w:rsidR="00043AAA">
        <w:t xml:space="preserve"> Se imagina </w:t>
      </w:r>
      <w:r w:rsidR="00043AAA">
        <w:rPr>
          <w:i/>
        </w:rPr>
        <w:t>soberana</w:t>
      </w:r>
      <w:r w:rsidR="00043AAA">
        <w:t xml:space="preserve"> porque el concepto nació en la época en que la Ilustración y la Revolución Francesa estaban destruyendo la legitimidad de la jerarquía dinástica del antiguo régimen, sustentada en su origen divino. Por último se imagina como </w:t>
      </w:r>
      <w:r w:rsidR="00043AAA">
        <w:rPr>
          <w:i/>
        </w:rPr>
        <w:t>comunidad</w:t>
      </w:r>
      <w:r w:rsidR="00043AAA">
        <w:t xml:space="preserve"> porque, más allá de la desigualdad y explotación de clases, la nación se concibe siempre como un compañerismo horizontal.</w:t>
      </w:r>
    </w:p>
    <w:p w:rsidR="00E37E20" w:rsidRDefault="00043AAA" w:rsidP="001550F5">
      <w:pPr>
        <w:pStyle w:val="Sinespaciado"/>
        <w:jc w:val="both"/>
      </w:pPr>
      <w:r>
        <w:lastRenderedPageBreak/>
        <w:t>Justamente en este último punto, el de la profunda fraternidad nacional, radica el peligro más importante pues es ella la que ha permitido que, durante los últimos dos siglos, millones de personas maten y estén dispuestas a morir por la “Nación”.</w:t>
      </w:r>
    </w:p>
    <w:p w:rsidR="001A0701" w:rsidRDefault="001A0701" w:rsidP="001550F5">
      <w:pPr>
        <w:pStyle w:val="Sinespaciado"/>
        <w:jc w:val="both"/>
      </w:pPr>
    </w:p>
    <w:p w:rsidR="005A08E8" w:rsidRDefault="00CA4E55" w:rsidP="001550F5">
      <w:pPr>
        <w:pStyle w:val="Sinespaciado"/>
        <w:jc w:val="both"/>
      </w:pPr>
      <w:r>
        <w:t xml:space="preserve">De todas maneras –para llegar a un </w:t>
      </w:r>
      <w:r w:rsidR="000E73FB">
        <w:t xml:space="preserve">acuerdo </w:t>
      </w:r>
      <w:r>
        <w:t>razonable- a</w:t>
      </w:r>
      <w:r w:rsidR="001A0701">
        <w:t>utores relevantes (</w:t>
      </w:r>
      <w:proofErr w:type="spellStart"/>
      <w:r w:rsidR="001A0701">
        <w:t>Gellner</w:t>
      </w:r>
      <w:proofErr w:type="spellEnd"/>
      <w:r w:rsidR="001A0701">
        <w:t xml:space="preserve">, </w:t>
      </w:r>
      <w:proofErr w:type="spellStart"/>
      <w:r w:rsidR="001A0701">
        <w:t>Breully</w:t>
      </w:r>
      <w:proofErr w:type="spellEnd"/>
      <w:r w:rsidR="001A0701">
        <w:t xml:space="preserve">, el propio </w:t>
      </w:r>
      <w:proofErr w:type="spellStart"/>
      <w:r w:rsidR="001A0701">
        <w:t>Hobsbawm</w:t>
      </w:r>
      <w:proofErr w:type="spellEnd"/>
      <w:r w:rsidR="001A0701">
        <w:t xml:space="preserve">) utilizan el término “nacionalismo” para referirse </w:t>
      </w:r>
      <w:r w:rsidR="001A0701">
        <w:rPr>
          <w:i/>
        </w:rPr>
        <w:t>básicamente a un</w:t>
      </w:r>
      <w:r w:rsidR="008B1A2A">
        <w:rPr>
          <w:i/>
        </w:rPr>
        <w:t>a congruencia entre la unidad política y la nacional.</w:t>
      </w:r>
      <w:r w:rsidR="008B1A2A">
        <w:t xml:space="preserve"> Este último historiador afirma que antes de 1884 en el Diccionario de la Real Academia Española, la palabra </w:t>
      </w:r>
      <w:r w:rsidR="008B1A2A" w:rsidRPr="008B1A2A">
        <w:t>nación</w:t>
      </w:r>
      <w:r w:rsidR="008B1A2A">
        <w:t xml:space="preserve"> significaba sencillamente “la colección de los habitantes en alguna provincia, país o reino”. Pero en 1884 se daba como definición “estado</w:t>
      </w:r>
      <w:r w:rsidR="005A08E8">
        <w:t xml:space="preserve"> o cuerpo político que reconoce un centro común supremo de gobierno”; es decir una concepción claramente moderna. La </w:t>
      </w:r>
      <w:r w:rsidR="005A08E8">
        <w:rPr>
          <w:i/>
        </w:rPr>
        <w:t>nación es el conjunto de los habitantes de un país regido por un mismo gobierno</w:t>
      </w:r>
      <w:r w:rsidR="005A08E8">
        <w:t xml:space="preserve"> (</w:t>
      </w:r>
      <w:proofErr w:type="spellStart"/>
      <w:r w:rsidR="005A08E8">
        <w:t>Hobsbawm</w:t>
      </w:r>
      <w:proofErr w:type="spellEnd"/>
      <w:r w:rsidR="005A08E8">
        <w:t>, 1991: 23).</w:t>
      </w:r>
    </w:p>
    <w:p w:rsidR="00696526" w:rsidRDefault="00696526" w:rsidP="001550F5">
      <w:pPr>
        <w:pStyle w:val="Sinespaciado"/>
        <w:jc w:val="both"/>
      </w:pPr>
    </w:p>
    <w:p w:rsidR="00696526" w:rsidRDefault="00696526" w:rsidP="001550F5">
      <w:pPr>
        <w:pStyle w:val="Sinespaciado"/>
        <w:jc w:val="both"/>
      </w:pPr>
    </w:p>
    <w:p w:rsidR="001550F5" w:rsidRDefault="001550F5" w:rsidP="001550F5">
      <w:pPr>
        <w:pStyle w:val="Sinespaciado"/>
        <w:jc w:val="both"/>
      </w:pPr>
      <w:r>
        <w:rPr>
          <w:vanish/>
        </w:rPr>
        <w:cr/>
        <w:t xml:space="preserve"> temas aparece vinculado?</w:t>
      </w:r>
      <w:r>
        <w:rPr>
          <w:vanish/>
        </w:rPr>
        <w:cr/>
        <w:t xml:space="preserve">contenido en el diseño curricular de CABA? </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p w:rsidR="006E787F" w:rsidRPr="00545FEC" w:rsidRDefault="00D207CC" w:rsidP="00545FEC">
      <w:pPr>
        <w:pStyle w:val="Sinespaciado"/>
        <w:numPr>
          <w:ilvl w:val="0"/>
          <w:numId w:val="9"/>
        </w:numPr>
        <w:jc w:val="center"/>
        <w:rPr>
          <w:b/>
          <w:u w:val="single"/>
        </w:rPr>
      </w:pPr>
      <w:r w:rsidRPr="00545FEC">
        <w:rPr>
          <w:b/>
          <w:u w:val="single"/>
        </w:rPr>
        <w:t>Definiciones y debates</w:t>
      </w:r>
      <w:r w:rsidR="00790629" w:rsidRPr="00545FEC">
        <w:rPr>
          <w:b/>
          <w:u w:val="single"/>
        </w:rPr>
        <w:t xml:space="preserve"> contemporáneos</w:t>
      </w:r>
      <w:r w:rsidR="006E787F" w:rsidRPr="00545FEC">
        <w:rPr>
          <w:b/>
          <w:u w:val="single"/>
        </w:rPr>
        <w:t xml:space="preserve"> en torno al concepto de Cultura </w:t>
      </w:r>
    </w:p>
    <w:p w:rsidR="006E787F" w:rsidRPr="00545FEC" w:rsidRDefault="006E787F" w:rsidP="006E787F">
      <w:pPr>
        <w:pStyle w:val="Sinespaciado"/>
        <w:jc w:val="center"/>
        <w:rPr>
          <w:b/>
          <w:u w:val="single"/>
        </w:rPr>
      </w:pPr>
    </w:p>
    <w:p w:rsidR="00873708" w:rsidRDefault="00873708" w:rsidP="006E787F">
      <w:pPr>
        <w:pStyle w:val="Sinespaciado"/>
        <w:jc w:val="center"/>
      </w:pPr>
    </w:p>
    <w:p w:rsidR="00AB428A" w:rsidRPr="00BC0A4B" w:rsidRDefault="00AB428A" w:rsidP="006E787F">
      <w:pPr>
        <w:pStyle w:val="Sinespaciado"/>
        <w:jc w:val="center"/>
        <w:rPr>
          <w:b/>
        </w:rPr>
      </w:pPr>
      <w:r w:rsidRPr="00BC0A4B">
        <w:rPr>
          <w:b/>
        </w:rPr>
        <w:t>A modo de comentario introductorio sobre un concepto “difícil”</w:t>
      </w:r>
    </w:p>
    <w:p w:rsidR="00AB428A" w:rsidRDefault="00AB428A" w:rsidP="006E787F">
      <w:pPr>
        <w:pStyle w:val="Sinespaciado"/>
        <w:jc w:val="center"/>
      </w:pPr>
    </w:p>
    <w:p w:rsidR="006E787F" w:rsidRDefault="006E787F" w:rsidP="006E787F">
      <w:pPr>
        <w:pStyle w:val="Sinespaciado"/>
        <w:jc w:val="both"/>
      </w:pPr>
      <w:r>
        <w:t>Raymond Williams (1976: 87) alguna vez afirmó que la palabra “cultura” era una de las dos o tres más complicadas del idioma inglés. A mediados del siglo XX se conocían más de 150 definiciones y el término cultura se ha</w:t>
      </w:r>
      <w:r w:rsidR="00614C11">
        <w:t>bía</w:t>
      </w:r>
      <w:r>
        <w:t xml:space="preserve"> introducido en el discurso de diferentes “campos” (Bourdieu, 1991) de la sociedad contemporánea</w:t>
      </w:r>
      <w:r>
        <w:rPr>
          <w:rStyle w:val="Refdenotaalpie"/>
        </w:rPr>
        <w:footnoteReference w:id="11"/>
      </w:r>
      <w:r>
        <w:t>.</w:t>
      </w:r>
    </w:p>
    <w:p w:rsidR="00614C11" w:rsidRDefault="00614C11" w:rsidP="006E787F">
      <w:pPr>
        <w:pStyle w:val="Sinespaciado"/>
        <w:jc w:val="both"/>
      </w:pPr>
      <w:r>
        <w:t>El prominente antropólogo norteamericano Marvin Harris (1927 – 2001) decía –no sin cierta ironía- que “el único ingrediente fidedigno que contienen las definiciones antropológicas de cultura es de tipo negativo: la cultura no es lo que se obtiene estudiando a Shakespeare, escuchando música clásica o asistiendo a clases de historia del arte” (Harris</w:t>
      </w:r>
      <w:r w:rsidR="00326F5E">
        <w:t>, 1989: 17).</w:t>
      </w:r>
    </w:p>
    <w:p w:rsidR="004D56BC" w:rsidRDefault="00326F5E" w:rsidP="006E787F">
      <w:pPr>
        <w:pStyle w:val="Sinespaciado"/>
        <w:jc w:val="both"/>
      </w:pPr>
      <w:r>
        <w:t>Más allá de la graciosa referencia a esta noción elitista y restringida de cultura, dicho</w:t>
      </w:r>
      <w:r w:rsidR="00614C11">
        <w:t xml:space="preserve"> estado de situación ha atravesado los primeros años del siglo XXI y la ambigüedad conceptual en torno a la “cultura” constituye un desafío no sólo para los antropólogos, sino para todos los estudiosos de las ciencias sociales.</w:t>
      </w:r>
    </w:p>
    <w:p w:rsidR="00A26572" w:rsidRDefault="00A26572" w:rsidP="006E787F">
      <w:pPr>
        <w:pStyle w:val="Sinespaciado"/>
        <w:jc w:val="both"/>
      </w:pPr>
    </w:p>
    <w:p w:rsidR="00A26572" w:rsidRDefault="00A26572" w:rsidP="006E787F">
      <w:pPr>
        <w:pStyle w:val="Sinespaciado"/>
        <w:jc w:val="both"/>
      </w:pPr>
      <w:r>
        <w:t>Desde la Antropología</w:t>
      </w:r>
      <w:r w:rsidR="00240428">
        <w:t>, muchas veces “la cultura” fue esgrimida como concepto e</w:t>
      </w:r>
      <w:r w:rsidR="00D4114C">
        <w:t>xplicativo aislado</w:t>
      </w:r>
      <w:r w:rsidR="00240428">
        <w:t xml:space="preserve">. Autores como Descola (1996) y </w:t>
      </w:r>
      <w:proofErr w:type="spellStart"/>
      <w:r w:rsidR="00240428">
        <w:t>Latour</w:t>
      </w:r>
      <w:proofErr w:type="spellEnd"/>
      <w:r w:rsidR="00240428">
        <w:t xml:space="preserve"> (2017) discuten incluso la pertinencia del debate entre cultura y naturaleza como términos </w:t>
      </w:r>
      <w:proofErr w:type="spellStart"/>
      <w:r w:rsidR="00240428">
        <w:t>esencializados</w:t>
      </w:r>
      <w:proofErr w:type="spellEnd"/>
      <w:r w:rsidR="00240428">
        <w:t xml:space="preserve"> en una oposición binaria y postulan que la dicotomía es en sí misma un producto histórico y cultural.</w:t>
      </w:r>
    </w:p>
    <w:p w:rsidR="004D56BC" w:rsidRDefault="004D56BC" w:rsidP="006E787F">
      <w:pPr>
        <w:pStyle w:val="Sinespaciado"/>
        <w:jc w:val="both"/>
      </w:pPr>
    </w:p>
    <w:p w:rsidR="004D56BC" w:rsidRDefault="00DE04DD" w:rsidP="006E787F">
      <w:pPr>
        <w:pStyle w:val="Sinespaciado"/>
        <w:jc w:val="both"/>
      </w:pPr>
      <w:r>
        <w:t>Para algunos consiste en valores, motivaciones, normas y contenidos morales dominantes en un sistema social.</w:t>
      </w:r>
      <w:r w:rsidR="004D56BC">
        <w:t xml:space="preserve"> En este grupo podemos incluir a </w:t>
      </w:r>
      <w:proofErr w:type="spellStart"/>
      <w:r w:rsidR="004D56BC">
        <w:t>Clifford</w:t>
      </w:r>
      <w:proofErr w:type="spellEnd"/>
      <w:r w:rsidR="004D56BC">
        <w:t xml:space="preserve"> </w:t>
      </w:r>
      <w:proofErr w:type="spellStart"/>
      <w:r w:rsidR="004D56BC">
        <w:t>Geertz</w:t>
      </w:r>
      <w:proofErr w:type="spellEnd"/>
      <w:r w:rsidR="00F735BE">
        <w:t>,</w:t>
      </w:r>
      <w:r w:rsidR="004D56BC">
        <w:t xml:space="preserve"> quién partiendo de una definició</w:t>
      </w:r>
      <w:r w:rsidR="00F735BE">
        <w:t>n semiótica de cultura la caracteriza</w:t>
      </w:r>
      <w:r w:rsidR="004D56BC">
        <w:t xml:space="preserve"> como “un sistema de signos compartidos”, una “red de significados”. Dentro de esta concepción</w:t>
      </w:r>
      <w:r w:rsidR="00F735BE">
        <w:t>,</w:t>
      </w:r>
      <w:r w:rsidR="004D56BC">
        <w:t xml:space="preserve"> el hombre </w:t>
      </w:r>
      <w:r w:rsidR="00F735BE">
        <w:t>sería</w:t>
      </w:r>
      <w:r w:rsidR="004D56BC">
        <w:t xml:space="preserve"> un particular animal suspendido en esa red que él mismo ha construido.</w:t>
      </w:r>
      <w:r w:rsidR="00F735BE">
        <w:t xml:space="preserve"> La cultura es </w:t>
      </w:r>
      <w:r w:rsidR="00F735BE" w:rsidRPr="00D43D09">
        <w:rPr>
          <w:i/>
        </w:rPr>
        <w:t>“la fábrica del significado con arreglo al cual los seres humanos interpretan su experiencia y guían sus acciones”</w:t>
      </w:r>
      <w:r w:rsidR="00F735BE">
        <w:t xml:space="preserve"> (</w:t>
      </w:r>
      <w:proofErr w:type="spellStart"/>
      <w:r w:rsidR="00F735BE">
        <w:t>Geertz</w:t>
      </w:r>
      <w:proofErr w:type="spellEnd"/>
      <w:r w:rsidR="00F735BE">
        <w:t>, 1973: 144-145)</w:t>
      </w:r>
    </w:p>
    <w:p w:rsidR="00004136" w:rsidRDefault="00004136" w:rsidP="006E787F">
      <w:pPr>
        <w:pStyle w:val="Sinespaciado"/>
        <w:jc w:val="both"/>
      </w:pPr>
    </w:p>
    <w:p w:rsidR="00D43D09" w:rsidRDefault="00DE04DD" w:rsidP="006E787F">
      <w:pPr>
        <w:pStyle w:val="Sinespaciado"/>
        <w:jc w:val="both"/>
      </w:pPr>
      <w:r>
        <w:t xml:space="preserve">Para otros, la cultura abarca también todo el conjunto de instituciones por las que se rigen los hombres. </w:t>
      </w:r>
      <w:r w:rsidR="004D56BC">
        <w:t xml:space="preserve">En esta línea </w:t>
      </w:r>
      <w:r w:rsidR="00D43D09">
        <w:t xml:space="preserve">que hace hincapié en la noción de “estilo de vida” y </w:t>
      </w:r>
      <w:r w:rsidR="004D56BC">
        <w:t>que podríamos denominar conductual o material se inscribe la clásica definición fundacional de</w:t>
      </w:r>
      <w:r w:rsidR="00F735BE">
        <w:t xml:space="preserve"> Edward B.</w:t>
      </w:r>
      <w:r w:rsidR="004D56BC">
        <w:t xml:space="preserve"> </w:t>
      </w:r>
      <w:proofErr w:type="spellStart"/>
      <w:r w:rsidR="004D56BC">
        <w:t>Tylor</w:t>
      </w:r>
      <w:proofErr w:type="spellEnd"/>
      <w:r w:rsidR="004D56BC">
        <w:t xml:space="preserve">: </w:t>
      </w:r>
      <w:r w:rsidR="00F735BE" w:rsidRPr="00D43D09">
        <w:rPr>
          <w:i/>
        </w:rPr>
        <w:lastRenderedPageBreak/>
        <w:t>“La cultura… en su sentido etnográfico, es ese todo complejo que comprende conocimientos, creencias, arte, moral, derecho, costumbres y cualesquiera otras capacidades y hábitos adquiridos por el hombre en tanto que miem</w:t>
      </w:r>
      <w:r w:rsidR="00D43D09" w:rsidRPr="00D43D09">
        <w:rPr>
          <w:i/>
        </w:rPr>
        <w:t>bro de la sociedad.”</w:t>
      </w:r>
      <w:r w:rsidR="00D43D09">
        <w:t xml:space="preserve"> (</w:t>
      </w:r>
      <w:proofErr w:type="spellStart"/>
      <w:r w:rsidR="00D43D09">
        <w:t>Tylor</w:t>
      </w:r>
      <w:proofErr w:type="spellEnd"/>
      <w:r w:rsidR="00D43D09">
        <w:t>, 1871: 1).</w:t>
      </w:r>
    </w:p>
    <w:p w:rsidR="00004136" w:rsidRPr="00D43D09" w:rsidRDefault="00004136" w:rsidP="006E787F">
      <w:pPr>
        <w:pStyle w:val="Sinespaciado"/>
        <w:jc w:val="both"/>
      </w:pPr>
    </w:p>
    <w:p w:rsidR="00004136" w:rsidRDefault="00004136" w:rsidP="00004136">
      <w:pPr>
        <w:pStyle w:val="Sinespaciado"/>
        <w:jc w:val="both"/>
      </w:pPr>
      <w:r>
        <w:t>Sin embargo, en la etnografía más reciente comienza a</w:t>
      </w:r>
      <w:r w:rsidR="000E73FB">
        <w:t xml:space="preserve"> des</w:t>
      </w:r>
      <w:r>
        <w:t xml:space="preserve">dibujarse la eficacia de la cultura como </w:t>
      </w:r>
      <w:r>
        <w:rPr>
          <w:i/>
        </w:rPr>
        <w:t>pauta de y para el comportamiento</w:t>
      </w:r>
      <w:r>
        <w:t xml:space="preserve"> que inhibe y limita la acción del sujeto, al tiempo que se deja de lado también la noción de cultura como un sistema simbólico con coherencia interna e incompatible con otros sistemas culturales (</w:t>
      </w:r>
      <w:proofErr w:type="spellStart"/>
      <w:r>
        <w:t>Padawer</w:t>
      </w:r>
      <w:proofErr w:type="spellEnd"/>
      <w:r>
        <w:t>, 2010). Lo que existen son acciones de sujetos en contextos sociales específicos donde las prácticas y referencias culturales se reinscriben y reelaboran activamente en función de intereses variados y muchas veces contrapuestos.</w:t>
      </w:r>
    </w:p>
    <w:p w:rsidR="00466803" w:rsidRDefault="00466803" w:rsidP="00004136">
      <w:pPr>
        <w:pStyle w:val="Sinespaciado"/>
        <w:jc w:val="both"/>
      </w:pPr>
    </w:p>
    <w:p w:rsidR="00466803" w:rsidRDefault="006F28F5" w:rsidP="00004136">
      <w:pPr>
        <w:pStyle w:val="Sinespaciado"/>
        <w:jc w:val="both"/>
      </w:pPr>
      <w:r>
        <w:t>Existe un problema adicional: e</w:t>
      </w:r>
      <w:r w:rsidR="00466803">
        <w:t>n contextos contemporáneos suele pensarse la diversidad</w:t>
      </w:r>
      <w:r w:rsidR="00F15030">
        <w:t xml:space="preserve"> cultural</w:t>
      </w:r>
      <w:r>
        <w:t xml:space="preserve"> en el marco de un discurso de la tolerancia y el respeto por las diferencias enunciado de manera muy abstracta. Creemos empero que ese mero respeto coloca al sujeto en un claro nivel de superioridad respecto de otro “que es tolerado” (</w:t>
      </w:r>
      <w:proofErr w:type="spellStart"/>
      <w:r>
        <w:t>Neufeld</w:t>
      </w:r>
      <w:proofErr w:type="spellEnd"/>
      <w:r>
        <w:t xml:space="preserve"> y </w:t>
      </w:r>
      <w:proofErr w:type="spellStart"/>
      <w:r>
        <w:t>Thiested</w:t>
      </w:r>
      <w:proofErr w:type="spellEnd"/>
      <w:r>
        <w:t>, 1999).</w:t>
      </w:r>
    </w:p>
    <w:p w:rsidR="006F28F5" w:rsidRPr="00004136" w:rsidRDefault="006F28F5" w:rsidP="00004136">
      <w:pPr>
        <w:pStyle w:val="Sinespaciado"/>
        <w:jc w:val="both"/>
      </w:pPr>
      <w:r>
        <w:t xml:space="preserve">Deberíamos intentar superar ese discurso para problematizar la desigualdad en el acceso a bienes materiales y simbólicos en el seno de las distintas </w:t>
      </w:r>
      <w:r w:rsidR="00F15030">
        <w:t>sociedades.</w:t>
      </w:r>
    </w:p>
    <w:p w:rsidR="00121D32" w:rsidRDefault="00121D32" w:rsidP="006E787F">
      <w:pPr>
        <w:pStyle w:val="Sinespaciado"/>
        <w:jc w:val="both"/>
      </w:pPr>
    </w:p>
    <w:p w:rsidR="00DE04DD" w:rsidRDefault="00DE04DD" w:rsidP="006E787F">
      <w:pPr>
        <w:pStyle w:val="Sinespaciado"/>
        <w:jc w:val="both"/>
      </w:pPr>
    </w:p>
    <w:p w:rsidR="00DE04DD" w:rsidRPr="00BC0A4B" w:rsidRDefault="00DE04DD" w:rsidP="00DE04DD">
      <w:pPr>
        <w:pStyle w:val="Sinespaciado"/>
        <w:jc w:val="center"/>
        <w:rPr>
          <w:b/>
        </w:rPr>
      </w:pPr>
      <w:r w:rsidRPr="00BC0A4B">
        <w:rPr>
          <w:b/>
        </w:rPr>
        <w:t>Hacia una delimitación posible de la Cultura</w:t>
      </w:r>
    </w:p>
    <w:p w:rsidR="00DE04DD" w:rsidRDefault="00DE04DD" w:rsidP="006E787F">
      <w:pPr>
        <w:pStyle w:val="Sinespaciado"/>
        <w:jc w:val="both"/>
      </w:pPr>
    </w:p>
    <w:p w:rsidR="00BC0A4B" w:rsidRDefault="00BC0A4B" w:rsidP="006E787F">
      <w:pPr>
        <w:pStyle w:val="Sinespaciado"/>
        <w:jc w:val="both"/>
      </w:pPr>
    </w:p>
    <w:p w:rsidR="004E6B50" w:rsidRDefault="00DE04DD" w:rsidP="006E787F">
      <w:pPr>
        <w:pStyle w:val="Sinespaciado"/>
        <w:jc w:val="both"/>
      </w:pPr>
      <w:r>
        <w:t>Sin embargo, más allá de las imprecisiones y complejidades conceptuales, debemos ponernos de acuerdo en algunos aspectos comunes de aquello que entendemos por “cultura” para pensar operativamente con nuestros alumnos en las aulas.</w:t>
      </w:r>
    </w:p>
    <w:p w:rsidR="00DE04DD" w:rsidRDefault="00873708" w:rsidP="006E787F">
      <w:pPr>
        <w:pStyle w:val="Sinespaciado"/>
        <w:jc w:val="both"/>
      </w:pPr>
      <w:r>
        <w:t>Dicha prevención se torna particularmente urgente ya que todos lo</w:t>
      </w:r>
      <w:r w:rsidR="009B0728">
        <w:t>s debates alrededor de las formas</w:t>
      </w:r>
      <w:r>
        <w:t xml:space="preserve"> de gobierno, estado y ciudadanía parten de ideas culturalmente legitimadas y</w:t>
      </w:r>
      <w:r w:rsidR="004E6B50">
        <w:t xml:space="preserve"> muchas veces</w:t>
      </w:r>
      <w:r>
        <w:t xml:space="preserve"> naturalizadas </w:t>
      </w:r>
      <w:r w:rsidR="004E6B50">
        <w:t>como alternativas únicas de organización de la vida social.</w:t>
      </w:r>
    </w:p>
    <w:p w:rsidR="004E6B50" w:rsidRDefault="004E6B50" w:rsidP="006E787F">
      <w:pPr>
        <w:pStyle w:val="Sinespaciado"/>
        <w:jc w:val="both"/>
      </w:pPr>
    </w:p>
    <w:p w:rsidR="00DE04DD" w:rsidRDefault="00DE04DD" w:rsidP="006E787F">
      <w:pPr>
        <w:pStyle w:val="Sinespaciado"/>
        <w:jc w:val="both"/>
      </w:pPr>
    </w:p>
    <w:p w:rsidR="001406F2" w:rsidRDefault="001406F2" w:rsidP="006E787F">
      <w:pPr>
        <w:pStyle w:val="Sinespaciado"/>
        <w:jc w:val="both"/>
      </w:pPr>
      <w:r>
        <w:t>Existen características que parecen incontrovertibles:</w:t>
      </w:r>
    </w:p>
    <w:p w:rsidR="001406F2" w:rsidRDefault="001406F2" w:rsidP="006E787F">
      <w:pPr>
        <w:pStyle w:val="Sinespaciado"/>
        <w:jc w:val="both"/>
      </w:pPr>
    </w:p>
    <w:p w:rsidR="001406F2" w:rsidRDefault="001406F2" w:rsidP="001406F2">
      <w:pPr>
        <w:pStyle w:val="Sinespaciado"/>
        <w:numPr>
          <w:ilvl w:val="0"/>
          <w:numId w:val="5"/>
        </w:numPr>
        <w:jc w:val="both"/>
      </w:pPr>
      <w:r>
        <w:t>La cultura es un producto humano y la gran mayoría de sus rasgos están configurados por una enseñanza socialmente condicionada.</w:t>
      </w:r>
      <w:r w:rsidR="00053A2B">
        <w:t xml:space="preserve"> En tanto herencia social</w:t>
      </w:r>
      <w:r w:rsidR="009A1F39">
        <w:t>, no constituye un complejo de raíz biológica que pasa de generación en generación.</w:t>
      </w:r>
    </w:p>
    <w:p w:rsidR="009B0728" w:rsidRDefault="009B0728" w:rsidP="009B0728">
      <w:pPr>
        <w:pStyle w:val="Sinespaciado"/>
        <w:ind w:left="720"/>
        <w:jc w:val="both"/>
      </w:pPr>
    </w:p>
    <w:p w:rsidR="001406F2" w:rsidRDefault="001406F2" w:rsidP="001406F2">
      <w:pPr>
        <w:pStyle w:val="Sinespaciado"/>
        <w:numPr>
          <w:ilvl w:val="0"/>
          <w:numId w:val="5"/>
        </w:numPr>
        <w:jc w:val="both"/>
      </w:pPr>
      <w:r>
        <w:t>Es dinámica (sujeta a</w:t>
      </w:r>
      <w:r w:rsidR="00085E19">
        <w:t xml:space="preserve"> un proceso de</w:t>
      </w:r>
      <w:r>
        <w:t xml:space="preserve"> permanente </w:t>
      </w:r>
      <w:r w:rsidR="00085E19">
        <w:t xml:space="preserve">discusión y </w:t>
      </w:r>
      <w:r>
        <w:t>transformación) y diversificada (hablamos de “culturas” en plural y no de “cultura”).</w:t>
      </w:r>
    </w:p>
    <w:p w:rsidR="006F28F5" w:rsidRDefault="006F28F5" w:rsidP="006F28F5">
      <w:pPr>
        <w:pStyle w:val="Sinespaciado"/>
        <w:jc w:val="both"/>
      </w:pPr>
    </w:p>
    <w:p w:rsidR="006F28F5" w:rsidRDefault="006F28F5" w:rsidP="006F28F5">
      <w:pPr>
        <w:pStyle w:val="Sinespaciado"/>
        <w:numPr>
          <w:ilvl w:val="0"/>
          <w:numId w:val="5"/>
        </w:numPr>
        <w:jc w:val="both"/>
      </w:pPr>
      <w:r>
        <w:t>Hoy se ha superado la noción de cultura como sistema cerrado, homogéneo e integrado, lo que abre posibilidades de percibir fisuras y contradicciones en las construcciones culturales.</w:t>
      </w:r>
    </w:p>
    <w:p w:rsidR="009B0728" w:rsidRDefault="009B0728" w:rsidP="009B0728">
      <w:pPr>
        <w:pStyle w:val="Sinespaciado"/>
        <w:jc w:val="both"/>
      </w:pPr>
    </w:p>
    <w:p w:rsidR="004750A0" w:rsidRDefault="004750A0" w:rsidP="001406F2">
      <w:pPr>
        <w:pStyle w:val="Sinespaciado"/>
        <w:numPr>
          <w:ilvl w:val="0"/>
          <w:numId w:val="5"/>
        </w:numPr>
        <w:jc w:val="both"/>
      </w:pPr>
      <w:r>
        <w:t>No existe una jerarquización entre culturas, en el sentido de que no existen culturas superiores e inferiores, como tampoco una “alta” cultura diferenciada</w:t>
      </w:r>
      <w:r w:rsidR="00085E19">
        <w:t xml:space="preserve"> del resto de las manifestaciones del hombre.</w:t>
      </w:r>
      <w:r w:rsidR="009A1F39">
        <w:t xml:space="preserve"> Cada cultura debe ser tomada seriamente, </w:t>
      </w:r>
      <w:proofErr w:type="spellStart"/>
      <w:r w:rsidR="009A1F39">
        <w:t>aún</w:t>
      </w:r>
      <w:proofErr w:type="spellEnd"/>
      <w:r w:rsidR="009A1F39">
        <w:t xml:space="preserve"> cuando se aparte de los principios de la civilización occidental.</w:t>
      </w:r>
    </w:p>
    <w:p w:rsidR="006F28F5" w:rsidRDefault="006F28F5" w:rsidP="006F28F5">
      <w:pPr>
        <w:pStyle w:val="Prrafodelista"/>
      </w:pPr>
    </w:p>
    <w:p w:rsidR="009B0728" w:rsidRDefault="009B0728" w:rsidP="009B0728">
      <w:pPr>
        <w:pStyle w:val="Sinespaciado"/>
        <w:jc w:val="both"/>
      </w:pPr>
    </w:p>
    <w:p w:rsidR="004750A0" w:rsidRDefault="004750A0" w:rsidP="001406F2">
      <w:pPr>
        <w:pStyle w:val="Sinespaciado"/>
        <w:numPr>
          <w:ilvl w:val="0"/>
          <w:numId w:val="5"/>
        </w:numPr>
        <w:jc w:val="both"/>
      </w:pPr>
      <w:r>
        <w:lastRenderedPageBreak/>
        <w:t>Está constituida tanto por aspectos simbólicos como materiales. Es decir está tanto “dentro como fuera de la mente”.</w:t>
      </w:r>
      <w:r w:rsidR="00085E19">
        <w:t xml:space="preserve"> No es un objeto real más allá de la acción humana.</w:t>
      </w:r>
    </w:p>
    <w:p w:rsidR="009B0728" w:rsidRDefault="009B0728" w:rsidP="009B0728">
      <w:pPr>
        <w:pStyle w:val="Sinespaciado"/>
        <w:jc w:val="both"/>
      </w:pPr>
    </w:p>
    <w:p w:rsidR="00085E19" w:rsidRDefault="00085E19" w:rsidP="001406F2">
      <w:pPr>
        <w:pStyle w:val="Sinespaciado"/>
        <w:numPr>
          <w:ilvl w:val="0"/>
          <w:numId w:val="5"/>
        </w:numPr>
        <w:jc w:val="both"/>
      </w:pPr>
      <w:r>
        <w:t>En las últimas décadas la noción de “cultura” es</w:t>
      </w:r>
      <w:r w:rsidR="00971E33">
        <w:t>tá siendo</w:t>
      </w:r>
      <w:r>
        <w:t xml:space="preserve"> utilizada por distintos grupos (políticos, funcionarios, minorías, académicos, etc.) como herramienta política (Wright, 1998).</w:t>
      </w:r>
    </w:p>
    <w:p w:rsidR="00971E33" w:rsidRDefault="00971E33" w:rsidP="00971E33">
      <w:pPr>
        <w:pStyle w:val="Sinespaciado"/>
        <w:jc w:val="both"/>
      </w:pPr>
    </w:p>
    <w:p w:rsidR="00D43D09" w:rsidRDefault="00971E33" w:rsidP="00971E33">
      <w:pPr>
        <w:pStyle w:val="Sinespaciado"/>
        <w:jc w:val="both"/>
      </w:pPr>
      <w:r>
        <w:t>Todos estos elementos remiten a procesos históricos y rescatan la agencia de sujetos y grupos sociales en torno a las definiciones y apropiaciones de distintas instancias</w:t>
      </w:r>
      <w:r w:rsidR="00121D32">
        <w:t xml:space="preserve"> y aspectos de la cultura</w:t>
      </w:r>
      <w:r>
        <w:t>.</w:t>
      </w:r>
      <w:r w:rsidR="00D43D09">
        <w:t xml:space="preserve"> Los símbolos y las ideas nunca constituyen marcos cerrados y coherentes. Las sensibilidades morales cambian y e</w:t>
      </w:r>
      <w:r w:rsidR="00121D32">
        <w:t>xisten disputas por la construcción de significados y por la construcción de marcos normativos que orientan las prácticas de los sujetos y colectivos</w:t>
      </w:r>
      <w:r w:rsidR="00121D32">
        <w:rPr>
          <w:rStyle w:val="Refdenotaalpie"/>
        </w:rPr>
        <w:footnoteReference w:id="12"/>
      </w:r>
      <w:r w:rsidR="00121D32">
        <w:t>.</w:t>
      </w:r>
    </w:p>
    <w:p w:rsidR="00D43D09" w:rsidRDefault="00D43D09" w:rsidP="00971E33">
      <w:pPr>
        <w:pStyle w:val="Sinespaciado"/>
        <w:jc w:val="both"/>
      </w:pPr>
    </w:p>
    <w:p w:rsidR="00971E33" w:rsidRDefault="00971E33" w:rsidP="00971E33">
      <w:pPr>
        <w:pStyle w:val="Sinespaciado"/>
        <w:jc w:val="both"/>
      </w:pPr>
      <w:r>
        <w:t>Nos alejamos así de aquellas características de lo que Wright (1998) denomina “vieja idea de cultura”. Ellas son:</w:t>
      </w:r>
    </w:p>
    <w:p w:rsidR="00971E33" w:rsidRDefault="00971E33" w:rsidP="00971E33">
      <w:pPr>
        <w:pStyle w:val="Sinespaciado"/>
        <w:jc w:val="both"/>
      </w:pPr>
    </w:p>
    <w:p w:rsidR="00971E33" w:rsidRDefault="00971E33" w:rsidP="00971E33">
      <w:pPr>
        <w:pStyle w:val="Sinespaciado"/>
        <w:numPr>
          <w:ilvl w:val="0"/>
          <w:numId w:val="6"/>
        </w:numPr>
        <w:jc w:val="both"/>
      </w:pPr>
      <w:r>
        <w:t>Entidad definida de pequeña escala (impensable en las actuales sociedades complejas)</w:t>
      </w:r>
      <w:r w:rsidR="007F7CFA">
        <w:t>.</w:t>
      </w:r>
    </w:p>
    <w:p w:rsidR="00971E33" w:rsidRDefault="00971E33" w:rsidP="00971E33">
      <w:pPr>
        <w:pStyle w:val="Sinespaciado"/>
        <w:numPr>
          <w:ilvl w:val="0"/>
          <w:numId w:val="6"/>
        </w:numPr>
        <w:jc w:val="both"/>
      </w:pPr>
      <w:r>
        <w:t>Características definidas en torno a de</w:t>
      </w:r>
      <w:r w:rsidR="007F7CFA">
        <w:t>terminados rasgos o atributos (</w:t>
      </w:r>
      <w:r>
        <w:t>difícil de soste</w:t>
      </w:r>
      <w:r w:rsidR="007F7CFA">
        <w:t>ner en contextos de hibridación y contacto intercultural).</w:t>
      </w:r>
    </w:p>
    <w:p w:rsidR="007F7CFA" w:rsidRDefault="007F7CFA" w:rsidP="00971E33">
      <w:pPr>
        <w:pStyle w:val="Sinespaciado"/>
        <w:numPr>
          <w:ilvl w:val="0"/>
          <w:numId w:val="6"/>
        </w:numPr>
        <w:jc w:val="both"/>
      </w:pPr>
      <w:r>
        <w:t>Inamovible, en equilibrio balanceado o auto-reproducido.</w:t>
      </w:r>
    </w:p>
    <w:p w:rsidR="007F7CFA" w:rsidRDefault="007F7CFA" w:rsidP="00971E33">
      <w:pPr>
        <w:pStyle w:val="Sinespaciado"/>
        <w:numPr>
          <w:ilvl w:val="0"/>
          <w:numId w:val="6"/>
        </w:numPr>
        <w:jc w:val="both"/>
      </w:pPr>
      <w:r>
        <w:t>Sistema subyacente de significados compartidos: “cultura auténtica”.</w:t>
      </w:r>
    </w:p>
    <w:p w:rsidR="007F7CFA" w:rsidRDefault="007F7CFA" w:rsidP="00971E33">
      <w:pPr>
        <w:pStyle w:val="Sinespaciado"/>
        <w:numPr>
          <w:ilvl w:val="0"/>
          <w:numId w:val="6"/>
        </w:numPr>
        <w:jc w:val="both"/>
      </w:pPr>
      <w:r>
        <w:t>Individuos homogéneos, idénticos.</w:t>
      </w:r>
    </w:p>
    <w:p w:rsidR="00121D32" w:rsidRDefault="00121D32" w:rsidP="00121D32">
      <w:pPr>
        <w:pStyle w:val="Sinespaciado"/>
        <w:jc w:val="both"/>
      </w:pPr>
    </w:p>
    <w:p w:rsidR="00121D32" w:rsidRDefault="00121D32" w:rsidP="00121D32">
      <w:pPr>
        <w:pStyle w:val="Sinespaciado"/>
        <w:jc w:val="both"/>
        <w:rPr>
          <w:b/>
          <w:i/>
        </w:rPr>
      </w:pPr>
      <w:r>
        <w:t xml:space="preserve">En síntesis, sin la pretensión de arribar a un consenso que dé cuenta de todos los debates planteados en torno a dicho concepto, podríamos definir a la cultura (siguiendo a Harris, 1989) como: </w:t>
      </w:r>
    </w:p>
    <w:p w:rsidR="005B2F4F" w:rsidRDefault="00F15030" w:rsidP="00121D32">
      <w:pPr>
        <w:pStyle w:val="Sinespaciado"/>
        <w:jc w:val="both"/>
        <w:rPr>
          <w:b/>
          <w:i/>
        </w:rPr>
      </w:pPr>
      <w:r>
        <w:rPr>
          <w:b/>
          <w:i/>
        </w:rPr>
        <w:tab/>
        <w:t>“…</w:t>
      </w:r>
      <w:r w:rsidR="00CC4D1F">
        <w:rPr>
          <w:b/>
          <w:i/>
        </w:rPr>
        <w:t xml:space="preserve"> el modo socialmente aprendido de vida que se encuentra en las sociedades humanas del presente y del pasado y que abarca todos los aspectos de la vida social, incluidos el pensamiento y el com</w:t>
      </w:r>
      <w:r w:rsidR="002F09F4">
        <w:rPr>
          <w:b/>
          <w:i/>
        </w:rPr>
        <w:t>portamiento” (Harris, 1989: 17</w:t>
      </w:r>
      <w:r w:rsidR="0003536E">
        <w:rPr>
          <w:b/>
          <w:i/>
        </w:rPr>
        <w:t>).</w:t>
      </w:r>
    </w:p>
    <w:p w:rsidR="0003536E" w:rsidRDefault="0003536E" w:rsidP="00121D32">
      <w:pPr>
        <w:pStyle w:val="Sinespaciado"/>
        <w:jc w:val="both"/>
        <w:rPr>
          <w:b/>
          <w:i/>
        </w:rPr>
      </w:pPr>
    </w:p>
    <w:p w:rsidR="0003536E" w:rsidRDefault="0003536E" w:rsidP="00121D32">
      <w:pPr>
        <w:pStyle w:val="Sinespaciado"/>
        <w:jc w:val="both"/>
        <w:rPr>
          <w:b/>
          <w:i/>
        </w:rPr>
      </w:pPr>
    </w:p>
    <w:p w:rsidR="0003536E" w:rsidRDefault="0003536E" w:rsidP="00121D32">
      <w:pPr>
        <w:pStyle w:val="Sinespaciado"/>
        <w:jc w:val="both"/>
      </w:pPr>
    </w:p>
    <w:p w:rsidR="00975F1D" w:rsidRPr="0087048B" w:rsidRDefault="00545FEC" w:rsidP="0087048B">
      <w:pPr>
        <w:pStyle w:val="Sinespaciado"/>
        <w:numPr>
          <w:ilvl w:val="0"/>
          <w:numId w:val="9"/>
        </w:numPr>
        <w:jc w:val="center"/>
        <w:rPr>
          <w:b/>
          <w:u w:val="single"/>
        </w:rPr>
      </w:pPr>
      <w:r>
        <w:rPr>
          <w:b/>
          <w:u w:val="single"/>
        </w:rPr>
        <w:t xml:space="preserve">Hacia una construcción relacional de los procesos </w:t>
      </w:r>
      <w:proofErr w:type="spellStart"/>
      <w:r>
        <w:rPr>
          <w:b/>
          <w:u w:val="single"/>
        </w:rPr>
        <w:t>identitarios</w:t>
      </w:r>
      <w:proofErr w:type="spellEnd"/>
      <w:r>
        <w:rPr>
          <w:b/>
          <w:u w:val="single"/>
        </w:rPr>
        <w:t>: identidad</w:t>
      </w:r>
      <w:r w:rsidR="009B0728">
        <w:rPr>
          <w:b/>
          <w:u w:val="single"/>
        </w:rPr>
        <w:t xml:space="preserve"> y</w:t>
      </w:r>
      <w:r>
        <w:rPr>
          <w:b/>
          <w:u w:val="single"/>
        </w:rPr>
        <w:t xml:space="preserve"> acción colectiva</w:t>
      </w:r>
      <w:r w:rsidR="009B0728">
        <w:rPr>
          <w:b/>
          <w:u w:val="single"/>
        </w:rPr>
        <w:t>.</w:t>
      </w:r>
    </w:p>
    <w:p w:rsidR="00D3368E" w:rsidRDefault="00D3368E" w:rsidP="00D3368E">
      <w:pPr>
        <w:pStyle w:val="Sinespaciado"/>
        <w:jc w:val="both"/>
      </w:pPr>
    </w:p>
    <w:p w:rsidR="00BC0A4B" w:rsidRDefault="00BC0A4B" w:rsidP="00D3368E">
      <w:pPr>
        <w:pStyle w:val="Sinespaciado"/>
        <w:jc w:val="both"/>
      </w:pPr>
    </w:p>
    <w:p w:rsidR="00A06A6F" w:rsidRDefault="0082028D" w:rsidP="00D3368E">
      <w:pPr>
        <w:pStyle w:val="Sinespaciado"/>
        <w:jc w:val="both"/>
      </w:pPr>
      <w:r>
        <w:t>“Identidad” es un término con una amplia tradición en la filosofía occidental desde la antigua Grecia. Ha sido usada para referirse al eterno problema de la permanencia en el cambio manifiesto y de la unidad en la diversidad.</w:t>
      </w:r>
    </w:p>
    <w:p w:rsidR="00F66FC6" w:rsidRDefault="0082028D" w:rsidP="00D3368E">
      <w:pPr>
        <w:pStyle w:val="Sinespaciado"/>
        <w:jc w:val="both"/>
      </w:pPr>
      <w:r>
        <w:t xml:space="preserve">También, desde la década del 60, el término “identidad” se ha popularizado en el análisis social y en el vocabulario político. Ha existido una proliferación de reivindicaciones </w:t>
      </w:r>
      <w:proofErr w:type="spellStart"/>
      <w:r>
        <w:t>identitarias</w:t>
      </w:r>
      <w:proofErr w:type="spellEnd"/>
      <w:r>
        <w:t xml:space="preserve"> desde movimientos étnicos</w:t>
      </w:r>
      <w:r w:rsidR="00190750">
        <w:t>, de izquierda, los feminismos, entre otros.</w:t>
      </w:r>
    </w:p>
    <w:p w:rsidR="00F66FC6" w:rsidRDefault="00F66FC6" w:rsidP="00D3368E">
      <w:pPr>
        <w:pStyle w:val="Sinespaciado"/>
        <w:jc w:val="both"/>
      </w:pPr>
    </w:p>
    <w:p w:rsidR="00F66FC6" w:rsidRDefault="00DC5EF1" w:rsidP="00D3368E">
      <w:pPr>
        <w:pStyle w:val="Sinespaciado"/>
        <w:jc w:val="both"/>
      </w:pPr>
      <w:r>
        <w:t xml:space="preserve">En palabras de </w:t>
      </w:r>
      <w:proofErr w:type="spellStart"/>
      <w:r w:rsidR="00190750">
        <w:t>Brubaker</w:t>
      </w:r>
      <w:proofErr w:type="spellEnd"/>
      <w:r w:rsidR="00190750">
        <w:t xml:space="preserve"> y Cooper (2001)</w:t>
      </w:r>
      <w:r>
        <w:t xml:space="preserve"> la palabra “Identidad” tiende a significar demasiado (cuando se entiende en un sentido fuerte), demasiado poco (cuando se entiende en un sentido débil) o nada (por su total ambigüedad). </w:t>
      </w:r>
    </w:p>
    <w:p w:rsidR="00AF1C9C" w:rsidRDefault="00A06A6F" w:rsidP="00D3368E">
      <w:pPr>
        <w:pStyle w:val="Sinespaciado"/>
        <w:jc w:val="both"/>
      </w:pPr>
      <w:r>
        <w:t xml:space="preserve">Estos autores entienden por </w:t>
      </w:r>
      <w:r w:rsidR="00AF1C9C">
        <w:t>“fuerte</w:t>
      </w:r>
      <w:r>
        <w:t>s” a</w:t>
      </w:r>
      <w:r w:rsidR="00AF1C9C">
        <w:t xml:space="preserve"> las concepciones de “identidad” que preservan el sentido común del significado del término: el énfasis en la igualdad a través del tiempo o a través de las personas. Esta postura acarrea una serie de supuestos problemáticos:</w:t>
      </w:r>
    </w:p>
    <w:p w:rsidR="00F66FC6" w:rsidRDefault="00F66FC6" w:rsidP="00D3368E">
      <w:pPr>
        <w:pStyle w:val="Sinespaciado"/>
        <w:jc w:val="both"/>
      </w:pPr>
    </w:p>
    <w:p w:rsidR="00AF1C9C" w:rsidRDefault="00F66FC6" w:rsidP="00AF1C9C">
      <w:pPr>
        <w:pStyle w:val="Sinespaciado"/>
        <w:numPr>
          <w:ilvl w:val="0"/>
          <w:numId w:val="14"/>
        </w:numPr>
        <w:jc w:val="both"/>
      </w:pPr>
      <w:r>
        <w:t>La identidad es algo que todas las personas o grupos tienen o deberían tener.</w:t>
      </w:r>
    </w:p>
    <w:p w:rsidR="00F66FC6" w:rsidRDefault="00F66FC6" w:rsidP="00AF1C9C">
      <w:pPr>
        <w:pStyle w:val="Sinespaciado"/>
        <w:numPr>
          <w:ilvl w:val="0"/>
          <w:numId w:val="14"/>
        </w:numPr>
        <w:jc w:val="both"/>
      </w:pPr>
      <w:r>
        <w:t>Identidad es algo que las personas (y grupos) pueden tener sin ser conscientes de ello.</w:t>
      </w:r>
    </w:p>
    <w:p w:rsidR="00F66FC6" w:rsidRDefault="00F66FC6" w:rsidP="00AF1C9C">
      <w:pPr>
        <w:pStyle w:val="Sinespaciado"/>
        <w:numPr>
          <w:ilvl w:val="0"/>
          <w:numId w:val="14"/>
        </w:numPr>
        <w:jc w:val="both"/>
      </w:pPr>
      <w:r>
        <w:t>Existe un claro límite entre la “identidad” o igualdad de los miembros del grupo y el afuera.</w:t>
      </w:r>
    </w:p>
    <w:p w:rsidR="00F66FC6" w:rsidRDefault="00F66FC6" w:rsidP="00F66FC6">
      <w:pPr>
        <w:pStyle w:val="Sinespaciado"/>
        <w:jc w:val="both"/>
      </w:pPr>
    </w:p>
    <w:p w:rsidR="00F66FC6" w:rsidRDefault="00F66FC6" w:rsidP="00F66FC6">
      <w:pPr>
        <w:pStyle w:val="Sinespaciado"/>
        <w:jc w:val="both"/>
      </w:pPr>
      <w:r>
        <w:t>Las concepciones “débiles” rompen, en contraste, con los significados cotidianos del término. Afirman que la identidad es múltiple, inestable, en movimiento, contingente, fragmentada, construida y negociada. Es la perspectiva que ha prevalecido en los últimos años y que frecuentemente aparece en los materiales de estudio y propuestas curriculares.</w:t>
      </w:r>
    </w:p>
    <w:p w:rsidR="00AF1C9C" w:rsidRDefault="00AF1C9C" w:rsidP="00D3368E">
      <w:pPr>
        <w:pStyle w:val="Sinespaciado"/>
        <w:jc w:val="both"/>
      </w:pPr>
    </w:p>
    <w:p w:rsidR="00D3368E" w:rsidRDefault="00F66FC6" w:rsidP="00D3368E">
      <w:pPr>
        <w:pStyle w:val="Sinespaciado"/>
        <w:jc w:val="both"/>
      </w:pPr>
      <w:r>
        <w:t xml:space="preserve">Para los autores defensores de dichas concepciones, la </w:t>
      </w:r>
      <w:r w:rsidR="00712EB6">
        <w:t xml:space="preserve">identidad no constituye una esencia que debamos descubrir y estudiar autónomamente; los procesos de construcción </w:t>
      </w:r>
      <w:proofErr w:type="spellStart"/>
      <w:r w:rsidR="00712EB6">
        <w:t>identitaria</w:t>
      </w:r>
      <w:proofErr w:type="spellEnd"/>
      <w:r w:rsidR="00712EB6">
        <w:t xml:space="preserve"> son dinámicos y complejos e interactúan con procesos culturales mayores. Autores como </w:t>
      </w:r>
      <w:proofErr w:type="spellStart"/>
      <w:r w:rsidR="00712EB6">
        <w:t>Athias</w:t>
      </w:r>
      <w:proofErr w:type="spellEnd"/>
      <w:r w:rsidR="00712EB6">
        <w:t xml:space="preserve"> (2002) parten de un posicionamiento </w:t>
      </w:r>
      <w:proofErr w:type="spellStart"/>
      <w:r w:rsidR="00712EB6">
        <w:t>translocacional</w:t>
      </w:r>
      <w:proofErr w:type="spellEnd"/>
      <w:r w:rsidR="00712EB6">
        <w:t xml:space="preserve"> de los sujetos: los lugares, roles e identidades que asumimos las personas son cambiantes y a menudo contradictorios. En esta perspectiva “La cultura no es un cuerpo de información estático, inmutable e identificable, sino más bien una serie de prácticas sociales constantemente cuestionadas y negociadas”</w:t>
      </w:r>
      <w:r w:rsidR="001332CA">
        <w:t xml:space="preserve"> (A. </w:t>
      </w:r>
      <w:proofErr w:type="spellStart"/>
      <w:r w:rsidR="001332CA">
        <w:t>Rao</w:t>
      </w:r>
      <w:proofErr w:type="spellEnd"/>
      <w:r w:rsidR="001332CA">
        <w:t>, 1995). En esta trama</w:t>
      </w:r>
      <w:r w:rsidR="00712EB6">
        <w:t xml:space="preserve"> se construyen y reconfiguran las identidades individuales y colectivas</w:t>
      </w:r>
      <w:r w:rsidR="001332CA">
        <w:t>.</w:t>
      </w:r>
    </w:p>
    <w:p w:rsidR="001332CA" w:rsidRDefault="001332CA" w:rsidP="00D3368E">
      <w:pPr>
        <w:pStyle w:val="Sinespaciado"/>
        <w:jc w:val="both"/>
      </w:pPr>
      <w:r>
        <w:t xml:space="preserve">El enfoque relacional aporta un cuerpo teórico para entender la creciente heterogeneidad de las sociedades modernas y sus repercusiones en el ámbito de la diversidad. Hoy pensamos una ciudadanía compleja en contextos interculturales que, inevitablemente, nos obligan a proponer una visión de identidad que respete, acepte e integre las diferencias conservando además las diversas configuraciones </w:t>
      </w:r>
      <w:proofErr w:type="spellStart"/>
      <w:r>
        <w:t>identitarias</w:t>
      </w:r>
      <w:proofErr w:type="spellEnd"/>
      <w:r w:rsidR="00BD40E2">
        <w:t xml:space="preserve"> culturales</w:t>
      </w:r>
      <w:r>
        <w:t xml:space="preserve"> (</w:t>
      </w:r>
      <w:proofErr w:type="spellStart"/>
      <w:r>
        <w:t>Donati</w:t>
      </w:r>
      <w:proofErr w:type="spellEnd"/>
      <w:r>
        <w:t>, 2011).</w:t>
      </w:r>
    </w:p>
    <w:p w:rsidR="001332CA" w:rsidRDefault="001332CA" w:rsidP="00D3368E">
      <w:pPr>
        <w:pStyle w:val="Sinespaciado"/>
        <w:jc w:val="both"/>
      </w:pPr>
      <w:r>
        <w:t>En las sociedades modernas, con sus flujos migratorios, emergen nuevos códigos simbólicos y de relaciones que dan lugar a un fenómeno de creciente diferenciación social que inevitablemente opera sobre las identidades (</w:t>
      </w:r>
      <w:proofErr w:type="spellStart"/>
      <w:r w:rsidR="00BD40E2">
        <w:t>G.Gil</w:t>
      </w:r>
      <w:proofErr w:type="spellEnd"/>
      <w:r w:rsidR="00BD40E2">
        <w:t xml:space="preserve"> y C. Ochoa, 2013: 140-144).</w:t>
      </w:r>
    </w:p>
    <w:p w:rsidR="00BD40E2" w:rsidRDefault="00BD40E2" w:rsidP="00D3368E">
      <w:pPr>
        <w:pStyle w:val="Sinespaciado"/>
        <w:jc w:val="both"/>
      </w:pPr>
      <w:r>
        <w:t>Pensar en términos de interculturalidad implica una actitud de pensarse a sí mismo y la propia cultura como un “estar en el mundo” que reconozca el valor de otras interpretaciones y percepciones del mismo; creando conciencia de la interrelación entre persona y entorno y entre los diversos universos culturales. Aparece así la</w:t>
      </w:r>
      <w:r>
        <w:rPr>
          <w:i/>
        </w:rPr>
        <w:t xml:space="preserve"> relación como categoría básica del conocimiento</w:t>
      </w:r>
      <w:r>
        <w:t xml:space="preserve"> (</w:t>
      </w:r>
      <w:proofErr w:type="spellStart"/>
      <w:r>
        <w:t>Canadell</w:t>
      </w:r>
      <w:proofErr w:type="spellEnd"/>
      <w:r>
        <w:t>: 2001).</w:t>
      </w:r>
    </w:p>
    <w:p w:rsidR="00DC5EF1" w:rsidRDefault="00DC5EF1" w:rsidP="00D3368E">
      <w:pPr>
        <w:pStyle w:val="Sinespaciado"/>
        <w:jc w:val="both"/>
      </w:pPr>
    </w:p>
    <w:p w:rsidR="00DC5EF1" w:rsidRDefault="00DC5EF1" w:rsidP="00D3368E">
      <w:pPr>
        <w:pStyle w:val="Sinespaciado"/>
        <w:jc w:val="both"/>
      </w:pPr>
      <w:r>
        <w:t xml:space="preserve">Sin dudas estas posturas </w:t>
      </w:r>
      <w:proofErr w:type="spellStart"/>
      <w:r>
        <w:t>identitarias</w:t>
      </w:r>
      <w:proofErr w:type="spellEnd"/>
      <w:r>
        <w:t xml:space="preserve"> “débiles”, que podríamos denominar “constructivistas”,</w:t>
      </w:r>
      <w:r w:rsidR="001646FC">
        <w:t xml:space="preserve"> son asumidas por numerosos estudiosos contemporáneos y se incluyen </w:t>
      </w:r>
      <w:r w:rsidR="0082028D">
        <w:t xml:space="preserve">–a nuestro entender </w:t>
      </w:r>
      <w:r w:rsidR="001646FC">
        <w:t>con acierto</w:t>
      </w:r>
      <w:r w:rsidR="0082028D">
        <w:t>-</w:t>
      </w:r>
      <w:r w:rsidR="001646FC">
        <w:t xml:space="preserve"> en los diseños curriculares ya que</w:t>
      </w:r>
      <w:r>
        <w:t xml:space="preserve"> liberan al término de su carga esencialista al argumentar que las identidades son construidas, fluidas y múltiples; pero para muchos autores esto hace que el concepto pierda su valor analítico.</w:t>
      </w:r>
    </w:p>
    <w:p w:rsidR="00DC5EF1" w:rsidRDefault="00DC5EF1" w:rsidP="00D3368E">
      <w:pPr>
        <w:pStyle w:val="Sinespaciado"/>
        <w:jc w:val="both"/>
        <w:rPr>
          <w:i/>
        </w:rPr>
      </w:pPr>
      <w:r>
        <w:t xml:space="preserve">Los ya citados </w:t>
      </w:r>
      <w:proofErr w:type="spellStart"/>
      <w:r>
        <w:t>Brubaker</w:t>
      </w:r>
      <w:proofErr w:type="spellEnd"/>
      <w:r>
        <w:t xml:space="preserve"> y Cooper</w:t>
      </w:r>
      <w:r w:rsidR="00A060A0">
        <w:t xml:space="preserve"> proponen abandonar el término</w:t>
      </w:r>
      <w:r w:rsidR="0082028D">
        <w:t xml:space="preserve"> por carecer de operatividad</w:t>
      </w:r>
      <w:r w:rsidR="00A060A0">
        <w:t xml:space="preserve"> </w:t>
      </w:r>
      <w:r w:rsidR="0082028D">
        <w:t xml:space="preserve">e ir “más allá de la identidad” ya que </w:t>
      </w:r>
      <w:r w:rsidR="0082028D">
        <w:rPr>
          <w:i/>
        </w:rPr>
        <w:t>si la identidad está en todas partes entonces no está en ninguna.</w:t>
      </w:r>
    </w:p>
    <w:p w:rsidR="00190750" w:rsidRDefault="00D93CDE" w:rsidP="00D3368E">
      <w:pPr>
        <w:pStyle w:val="Sinespaciado"/>
        <w:jc w:val="both"/>
      </w:pPr>
      <w:r>
        <w:t>Para ellos</w:t>
      </w:r>
      <w:r w:rsidR="00190750">
        <w:t xml:space="preserve"> no hay que privar a las personas y grupos de la idea de “identidad” como herramienta política ya que minaría las bases para hacer reclamos particularistas (pensemos por ejemplo en la pléyade de nuevas identidades de género). Lo que sugieren es problematizar el uso de “identidad” como concepto </w:t>
      </w:r>
      <w:r w:rsidR="00190750">
        <w:rPr>
          <w:i/>
        </w:rPr>
        <w:t>analítico.</w:t>
      </w:r>
      <w:r w:rsidR="00190750">
        <w:t xml:space="preserve"> Afirman que pensar la particularidad </w:t>
      </w:r>
      <w:r w:rsidR="00190750">
        <w:rPr>
          <w:i/>
        </w:rPr>
        <w:t>sólo</w:t>
      </w:r>
      <w:r w:rsidR="00190750">
        <w:t xml:space="preserve"> en términos </w:t>
      </w:r>
      <w:proofErr w:type="spellStart"/>
      <w:r w:rsidR="00190750">
        <w:t>identitarios</w:t>
      </w:r>
      <w:proofErr w:type="spellEnd"/>
      <w:r w:rsidR="00190750">
        <w:t xml:space="preserve"> nos distrae de una variedad de posibilidades para la acción política. </w:t>
      </w:r>
    </w:p>
    <w:p w:rsidR="002771BD" w:rsidRDefault="002771BD" w:rsidP="00D3368E">
      <w:pPr>
        <w:pStyle w:val="Sinespaciado"/>
        <w:jc w:val="both"/>
      </w:pPr>
    </w:p>
    <w:p w:rsidR="002771BD" w:rsidRPr="00190750" w:rsidRDefault="002771BD" w:rsidP="00D3368E">
      <w:pPr>
        <w:pStyle w:val="Sinespaciado"/>
        <w:jc w:val="both"/>
      </w:pPr>
      <w:r>
        <w:t xml:space="preserve">Coincidimos en que hoy habría que trascender las identidades de grupos particulares y unir los reclamos en “redes” con organizaciones que crucen límites culturales y estatales. Esto propicia el desplazamiento de sujetos heterogéneos en el interior de la red que ponen en juego múltiples particularidades y que pueden propiciar acuerdos, redefiniendo temas y articulando demandas </w:t>
      </w:r>
      <w:r>
        <w:lastRenderedPageBreak/>
        <w:t>de distintos colectivos (La lucha contra el apartheid en Sudáfrica fue un exitoso ejemplo de esta estrategia).</w:t>
      </w:r>
    </w:p>
    <w:p w:rsidR="00D3368E" w:rsidRDefault="00DC5EF1" w:rsidP="00D3368E">
      <w:pPr>
        <w:pStyle w:val="Sinespaciado"/>
        <w:jc w:val="both"/>
      </w:pPr>
      <w:r>
        <w:t xml:space="preserve"> </w:t>
      </w:r>
    </w:p>
    <w:p w:rsidR="00D3368E" w:rsidRDefault="002771BD" w:rsidP="00D3368E">
      <w:pPr>
        <w:pStyle w:val="Sinespaciado"/>
        <w:jc w:val="both"/>
      </w:pPr>
      <w:r>
        <w:t>En este sentido, p</w:t>
      </w:r>
      <w:r w:rsidR="00D3368E">
        <w:t xml:space="preserve">ara escapar de los esencialismos </w:t>
      </w:r>
      <w:proofErr w:type="spellStart"/>
      <w:r w:rsidR="00D3368E">
        <w:t>identitarios</w:t>
      </w:r>
      <w:proofErr w:type="spellEnd"/>
      <w:r w:rsidR="00D3368E">
        <w:t xml:space="preserve"> y de la noción utilitarista de actor solitario que persigue racionalmente sus fines, debemos añadir la dimensión colectiva al análisis de las transformaciones sociales. Ya desde 1920 autores como Dewey plantearon la resolución de problemas de interés colectivo como una condición esencial del orden social; dentro de esta filosofía política la acción social no es impuesta únicamente por mediación de la autoridad sino por la autoconciencia, solidaridad e iniciativa de los sujetos. Sin embargo dichas posturas lucen hoy un tanto ingenuas ya que descuidan los aspectos conflictivos entre los sujetos y el Estado, que es un punto de partida básico de nuestro enfoque relacional. Las acciones colectivas se construyen a lo largo de un proceso histórico en contextos complejos y heterogéneos donde se despliegan acuerdos, pero también visiones contrapuestas en pugna por la apropiación del sentido de dichas intervenciones. Dichas acciones pasan por diferentes etapas de organización, pudiendo constituirse en auténticos movimientos con inscripción en la agenda económica, política y cultural como  es el caso, por ejemplo, del feminismo.</w:t>
      </w:r>
    </w:p>
    <w:p w:rsidR="003F1E0C" w:rsidRDefault="003F1E0C" w:rsidP="002F09F4">
      <w:pPr>
        <w:pStyle w:val="Sinespaciado"/>
        <w:jc w:val="both"/>
      </w:pPr>
    </w:p>
    <w:p w:rsidR="003F1E0C" w:rsidRDefault="00A93D6E" w:rsidP="002F09F4">
      <w:pPr>
        <w:pStyle w:val="Sinespaciado"/>
        <w:jc w:val="both"/>
      </w:pPr>
      <w:r>
        <w:t xml:space="preserve">Retomando las cuestiones </w:t>
      </w:r>
      <w:proofErr w:type="spellStart"/>
      <w:r>
        <w:t>identitarias</w:t>
      </w:r>
      <w:proofErr w:type="spellEnd"/>
      <w:r>
        <w:t xml:space="preserve"> es importante reconocer el hecho de que m</w:t>
      </w:r>
      <w:r w:rsidR="002E42E1">
        <w:t>uchas veces la identidad de los grupos se consolida en la “acción colectiva”, en su movilización de demandas y reclamos (sociales, culturales, laborales, sexuales) frente a otros colectivos o frente al mismo Estado. En este proceso social e histórico (frecuentemente englobado bajo el rótulo de “nuevos movimientos sociales”) otros elementos –como ya vimos-  comienzan a ser importantes para la construcción de identidades: el género, la edad, el lugar de residencia, la profesión, la pertenencia laboral, la postura ante un problema complejo. Mu</w:t>
      </w:r>
      <w:r w:rsidR="00EB6E86">
        <w:t xml:space="preserve">chas veces son temas puntuales, pero importantes </w:t>
      </w:r>
      <w:r w:rsidR="00D3368E">
        <w:t>para la vida de amplios conjuntos de ciudadanos; por lo tanto ya no corresponde hablar de “parcialidad” o “fragmentación” de las demandas. Pensemos por ejemplo en los movimientos para mejorar la calidad de vida y el medioambiente: sus demandas comprometen la economía y la salud pública de regiones o provincias enteras (pensemos el caso de los colectivos de oposición a la mega minería en numerosas provincias argentinas). En estos movimientos de reclamo a los gobiernos provincial y Nacional se suman organizaciones de la sociedad civil y en ese proceso se construyen y reconfiguran nuevos intereses e identidades colectivas. Se generan así redes coordinadas que, pese a su aparente fragmentación de la demanda, involucran articulaciones flexibles y dinámicas para lograr una acción colectiva potente y organizada.</w:t>
      </w:r>
    </w:p>
    <w:p w:rsidR="009A1F39" w:rsidRDefault="009A1F39" w:rsidP="002F09F4">
      <w:pPr>
        <w:pStyle w:val="Sinespaciado"/>
        <w:jc w:val="both"/>
      </w:pPr>
    </w:p>
    <w:p w:rsidR="009A1F39" w:rsidRDefault="009A1F39" w:rsidP="002F09F4">
      <w:pPr>
        <w:pStyle w:val="Sinespaciado"/>
        <w:jc w:val="both"/>
      </w:pPr>
      <w:r>
        <w:t>Si tuviéramos que sintetizar algunos aspectos centrales de las discusiones contemporáneas acerca del concepto de “identidad”</w:t>
      </w:r>
      <w:r w:rsidR="006E2A76">
        <w:t xml:space="preserve"> habría que establecer ciertas consideraciones generales:</w:t>
      </w:r>
    </w:p>
    <w:p w:rsidR="009A1F39" w:rsidRDefault="009A1F39" w:rsidP="002F09F4">
      <w:pPr>
        <w:pStyle w:val="Sinespaciado"/>
        <w:jc w:val="both"/>
      </w:pPr>
    </w:p>
    <w:p w:rsidR="006E2A76" w:rsidRDefault="006E2A76" w:rsidP="006E2A76">
      <w:pPr>
        <w:pStyle w:val="Sinespaciado"/>
        <w:numPr>
          <w:ilvl w:val="0"/>
          <w:numId w:val="16"/>
        </w:numPr>
        <w:jc w:val="both"/>
      </w:pPr>
      <w:r>
        <w:t>No constituye una esencia objetiva a identificar o descubrir.</w:t>
      </w:r>
      <w:r w:rsidR="0061264B">
        <w:t xml:space="preserve"> No existe una homogeneidad originaria: ningún sujeto coincide plenamente consigo mismo.</w:t>
      </w:r>
    </w:p>
    <w:p w:rsidR="00AD66A4" w:rsidRDefault="00AD66A4" w:rsidP="00AD66A4">
      <w:pPr>
        <w:pStyle w:val="Sinespaciado"/>
        <w:numPr>
          <w:ilvl w:val="0"/>
          <w:numId w:val="16"/>
        </w:numPr>
        <w:jc w:val="both"/>
      </w:pPr>
      <w:r>
        <w:t xml:space="preserve">Las identidades pueden “recomponerse, readaptarse y reinventarse fluidamente” (Peter Mc </w:t>
      </w:r>
      <w:proofErr w:type="spellStart"/>
      <w:r>
        <w:t>Laren</w:t>
      </w:r>
      <w:proofErr w:type="spellEnd"/>
      <w:r>
        <w:t>: 1998).</w:t>
      </w:r>
    </w:p>
    <w:p w:rsidR="0061264B" w:rsidRDefault="0061264B" w:rsidP="00AD66A4">
      <w:pPr>
        <w:pStyle w:val="Sinespaciado"/>
        <w:numPr>
          <w:ilvl w:val="0"/>
          <w:numId w:val="16"/>
        </w:numPr>
        <w:jc w:val="both"/>
      </w:pPr>
      <w:r>
        <w:t>Al dejar de ser un conjunto cerrado y fijo de atributos predeterminados, la identidad es concebida como una “práctica articulatoria”: un proceso de subjetividad que se deshace y rehace mediante identificaciones tácticas con diferentes “posiciones de sujeto”</w:t>
      </w:r>
      <w:r w:rsidR="00993B5C">
        <w:t xml:space="preserve"> móviles y cambiantes (Nelly Richard, 2002).</w:t>
      </w:r>
    </w:p>
    <w:p w:rsidR="006E2A76" w:rsidRDefault="006E2A76" w:rsidP="006E2A76">
      <w:pPr>
        <w:pStyle w:val="Sinespaciado"/>
        <w:numPr>
          <w:ilvl w:val="0"/>
          <w:numId w:val="15"/>
        </w:numPr>
        <w:jc w:val="both"/>
      </w:pPr>
      <w:r>
        <w:t>Es un término que, en su ambigüedad y de acuerdo a la acepción de la que se parta, oscila en un énfasis</w:t>
      </w:r>
      <w:r w:rsidR="00AD66A4">
        <w:t xml:space="preserve"> que puede ir de</w:t>
      </w:r>
      <w:r>
        <w:t xml:space="preserve"> la igualdad </w:t>
      </w:r>
      <w:r w:rsidR="00AD66A4">
        <w:t>a</w:t>
      </w:r>
      <w:r>
        <w:t xml:space="preserve"> la diferencia.</w:t>
      </w:r>
    </w:p>
    <w:p w:rsidR="006E2A76" w:rsidRDefault="006E2A76" w:rsidP="006E2A76">
      <w:pPr>
        <w:pStyle w:val="Sinespaciado"/>
        <w:numPr>
          <w:ilvl w:val="0"/>
          <w:numId w:val="15"/>
        </w:numPr>
        <w:jc w:val="both"/>
      </w:pPr>
      <w:r>
        <w:t xml:space="preserve">Es una construcción histórico-cultural dinámica con múltiples dimensiones: </w:t>
      </w:r>
      <w:r w:rsidR="00AD66A4">
        <w:t>desde aspectos psicológicos individuales hasta construcciones colectivas con un frecuente uso político (que es la dimensión abordada en este apartado).</w:t>
      </w:r>
    </w:p>
    <w:p w:rsidR="00AD66A4" w:rsidRDefault="00AD66A4" w:rsidP="00AD66A4">
      <w:pPr>
        <w:pStyle w:val="Sinespaciado"/>
        <w:jc w:val="both"/>
      </w:pPr>
    </w:p>
    <w:p w:rsidR="00AD66A4" w:rsidRDefault="00AD66A4" w:rsidP="00AD66A4">
      <w:pPr>
        <w:pStyle w:val="Sinespaciado"/>
        <w:jc w:val="both"/>
      </w:pPr>
      <w:r>
        <w:t>En síntesis, podríamos adoptar una perspectiva “blanda” de la identidad, en el sentido de que se trata de una construcción flexible, muchas veces inestable y fragmentada. Sin embargo, debemos ser cuidadosos de no llevar esta posición “constructivista” al extremo excluyendo en el análisis l</w:t>
      </w:r>
      <w:r w:rsidR="007672D3">
        <w:t>a</w:t>
      </w:r>
      <w:r>
        <w:t xml:space="preserve">s dimensiones económico – políticas de las disputas </w:t>
      </w:r>
      <w:r w:rsidR="00111BF7">
        <w:t>por las identidades</w:t>
      </w:r>
      <w:r w:rsidR="0005544F">
        <w:t xml:space="preserve">. Por otra parte es necesario superar la superficialidad en la definición y descripción de la subjetividad de los actores sociales y evitar la </w:t>
      </w:r>
      <w:proofErr w:type="spellStart"/>
      <w:r w:rsidR="0005544F">
        <w:t>ahistoricidad</w:t>
      </w:r>
      <w:proofErr w:type="spellEnd"/>
      <w:r w:rsidR="0005544F">
        <w:t xml:space="preserve">, recuperando los procesos de construcción </w:t>
      </w:r>
      <w:proofErr w:type="spellStart"/>
      <w:r w:rsidR="0005544F">
        <w:t>identitaria</w:t>
      </w:r>
      <w:proofErr w:type="spellEnd"/>
      <w:r w:rsidR="0005544F">
        <w:t xml:space="preserve"> en contextos locales, regionales y globales.</w:t>
      </w:r>
    </w:p>
    <w:p w:rsidR="00975F1D" w:rsidRDefault="00583886" w:rsidP="005D3190">
      <w:pPr>
        <w:pStyle w:val="Sinespaciado"/>
        <w:jc w:val="both"/>
      </w:pPr>
      <w:r>
        <w:t xml:space="preserve">También sería interesante superar las connotaciones </w:t>
      </w:r>
      <w:proofErr w:type="spellStart"/>
      <w:r>
        <w:t>reificantes</w:t>
      </w:r>
      <w:proofErr w:type="spellEnd"/>
      <w:r>
        <w:t xml:space="preserve"> de “identidad”, utilizando un término procesual y activo como “identificación”. La identificación –de uno mismo y de los otros- es intrínseca a la vida social. Este proceso se desarrolla en un número amplio y diferente de contextos; siendo en el mundo contemporáneo el Estado el más poderoso agente </w:t>
      </w:r>
      <w:proofErr w:type="spellStart"/>
      <w:r>
        <w:t>identificatorio</w:t>
      </w:r>
      <w:proofErr w:type="spellEnd"/>
      <w:r>
        <w:t>, a través de la imposición de categorías y esquemas clasificatorios. (</w:t>
      </w:r>
      <w:proofErr w:type="spellStart"/>
      <w:r>
        <w:t>Brubaker</w:t>
      </w:r>
      <w:proofErr w:type="spellEnd"/>
      <w:r>
        <w:t xml:space="preserve"> y Cooper, 2001: 19). </w:t>
      </w:r>
    </w:p>
    <w:p w:rsidR="00993B5C" w:rsidRDefault="00993B5C" w:rsidP="005D3190">
      <w:pPr>
        <w:pStyle w:val="Sinespaciado"/>
        <w:jc w:val="both"/>
      </w:pPr>
    </w:p>
    <w:p w:rsidR="00993B5C" w:rsidRPr="005D3190" w:rsidRDefault="00993B5C" w:rsidP="005D3190">
      <w:pPr>
        <w:pStyle w:val="Sinespaciado"/>
        <w:jc w:val="both"/>
      </w:pPr>
    </w:p>
    <w:p w:rsidR="00975F1D" w:rsidRDefault="00975F1D" w:rsidP="00545FEC">
      <w:pPr>
        <w:pStyle w:val="Sinespaciado"/>
        <w:numPr>
          <w:ilvl w:val="0"/>
          <w:numId w:val="9"/>
        </w:numPr>
        <w:jc w:val="center"/>
        <w:rPr>
          <w:b/>
          <w:u w:val="single"/>
        </w:rPr>
      </w:pPr>
      <w:r>
        <w:rPr>
          <w:b/>
          <w:u w:val="single"/>
        </w:rPr>
        <w:t>Prejuicio, discriminación, etnocentrismo y racismo.</w:t>
      </w:r>
    </w:p>
    <w:p w:rsidR="00975F1D" w:rsidRDefault="00975F1D" w:rsidP="00583886">
      <w:pPr>
        <w:pStyle w:val="Sinespaciado"/>
        <w:jc w:val="both"/>
        <w:rPr>
          <w:b/>
          <w:u w:val="single"/>
        </w:rPr>
      </w:pPr>
    </w:p>
    <w:p w:rsidR="00BC0A4B" w:rsidRDefault="00BC0A4B" w:rsidP="00583886">
      <w:pPr>
        <w:pStyle w:val="Sinespaciado"/>
        <w:jc w:val="both"/>
        <w:rPr>
          <w:b/>
          <w:u w:val="single"/>
        </w:rPr>
      </w:pPr>
    </w:p>
    <w:p w:rsidR="00155B7C" w:rsidRDefault="00735461" w:rsidP="00583886">
      <w:pPr>
        <w:pStyle w:val="Sinespaciado"/>
        <w:jc w:val="both"/>
      </w:pPr>
      <w:r>
        <w:t>Las  complejas sociedades modernas multiculturales imponen frecuentemente la exclusión de diversos grupos étnicos y culturales, conduciendo en casos extremos a enfrentamientos e incluso guerras.</w:t>
      </w:r>
    </w:p>
    <w:p w:rsidR="00735461" w:rsidRDefault="00735461" w:rsidP="00583886">
      <w:pPr>
        <w:pStyle w:val="Sinespaciado"/>
        <w:jc w:val="both"/>
      </w:pPr>
      <w:r>
        <w:t>En el caso de nuestro país, en virtud del artículo 75</w:t>
      </w:r>
      <w:r w:rsidR="00155B7C">
        <w:t xml:space="preserve"> inc. 17 de la Constitución Nacional reformada en 1994, se reconoce “la preexistencia étnica y cultural de los pueblos indígenas argentinos”. Este inciso implica un reconocimiento explícito al carácter pluricultural, </w:t>
      </w:r>
      <w:proofErr w:type="spellStart"/>
      <w:r w:rsidR="00155B7C">
        <w:t>pluriétnico</w:t>
      </w:r>
      <w:proofErr w:type="spellEnd"/>
      <w:r w:rsidR="00155B7C">
        <w:t xml:space="preserve"> y </w:t>
      </w:r>
      <w:proofErr w:type="spellStart"/>
      <w:r w:rsidR="00155B7C">
        <w:t>plurilingüístico</w:t>
      </w:r>
      <w:proofErr w:type="spellEnd"/>
      <w:r w:rsidR="00155B7C">
        <w:t xml:space="preserve"> </w:t>
      </w:r>
      <w:r w:rsidR="00891FE5">
        <w:t>de la República Argentina.</w:t>
      </w:r>
    </w:p>
    <w:p w:rsidR="00891FE5" w:rsidRDefault="00891FE5" w:rsidP="00583886">
      <w:pPr>
        <w:pStyle w:val="Sinespaciado"/>
        <w:jc w:val="both"/>
      </w:pPr>
      <w:r>
        <w:t>Si bien el reconocimiento constitucional de la preexistencia de los pueblos originarios constituye un paso fundamental para la ampliación de derechos políticos, económicos, sociales y culturales; la realidad demuestra que ello está muy lejos aún de cumplirse y que el Estado Argentino tiene que recorrer un largo camino para garantizar el cumplimiento de dichos derechos. Los problemas ambientales de las comunidades, el acceso a bienes y servicios básicos, los problemas con las fuerzas de seguridad, la educación bilingüe e incluso el acceso a la propiedad comunitaria de la tierra (explicitado en dicho artículo) son aspectos críticos de una relación histórica siempre problemática</w:t>
      </w:r>
      <w:r w:rsidR="00A2433C">
        <w:t xml:space="preserve"> con las autoridades políticas del estado.</w:t>
      </w:r>
    </w:p>
    <w:p w:rsidR="00A2433C" w:rsidRDefault="00A2433C" w:rsidP="00583886">
      <w:pPr>
        <w:pStyle w:val="Sinespaciado"/>
        <w:jc w:val="both"/>
      </w:pPr>
    </w:p>
    <w:p w:rsidR="00A2433C" w:rsidRDefault="00A2433C" w:rsidP="00583886">
      <w:pPr>
        <w:pStyle w:val="Sinespaciado"/>
        <w:jc w:val="both"/>
      </w:pPr>
      <w:r>
        <w:t>Si a esta situación le agregamos la realidad de los flujos migratorios –tanto de países latinoamericanos como de otras regiones-, queda claro que el panorama de heterogeneidad étnica se complejiza y se generan las condiciones propicias (siempre explotadas política e ideológicamente) para la emergencia de actitudes prejuiciosas, discriminatorias e incluso abiertamente racistas.</w:t>
      </w:r>
    </w:p>
    <w:p w:rsidR="00A2433C" w:rsidRDefault="00A2433C" w:rsidP="00583886">
      <w:pPr>
        <w:pStyle w:val="Sinespaciado"/>
        <w:jc w:val="both"/>
      </w:pPr>
    </w:p>
    <w:p w:rsidR="00A2433C" w:rsidRDefault="00A2433C" w:rsidP="00583886">
      <w:pPr>
        <w:pStyle w:val="Sinespaciado"/>
        <w:jc w:val="both"/>
      </w:pPr>
      <w:r>
        <w:t>Para adquirir algunas herramientas de análisis para estudiar este tipo de prob</w:t>
      </w:r>
      <w:r w:rsidR="00B2684A">
        <w:t>lemas sociales, conviene precisar</w:t>
      </w:r>
      <w:r>
        <w:t xml:space="preserve"> algunos conceptos.</w:t>
      </w:r>
      <w:r w:rsidR="00322C9D">
        <w:t xml:space="preserve"> Cabe aclarar que, como hemos visto a lo largo de este recorrido teórico-metodológico, no existe unanimidad entre los especialistas acerca de las causas profundas y de las consecuencias de las actitudes discriminatorias y racistas como así tampoco de las políticas concretas que deben adoptar los estados y organismos internacionales (el fracaso, más allá de éxitos locales parciales, de la prédica antirracista de la UNESCO es un ejemplo de ello).</w:t>
      </w:r>
    </w:p>
    <w:p w:rsidR="00322C9D" w:rsidRDefault="00322C9D" w:rsidP="00583886">
      <w:pPr>
        <w:pStyle w:val="Sinespaciado"/>
        <w:jc w:val="both"/>
      </w:pPr>
      <w:r>
        <w:t xml:space="preserve">Sin embargo existen consensos básicos acerca de la importancia que en la sociedad moderna están adquiriendo los discursos y prácticas abiertamente racistas en muchos lugares del mundo (el caso europeo, con el auge de partidos e incluso gobiernos racistas y xenófobos constituye un doloroso ejemplo). El racismo, en una época de grandes diásporas, constituye una tragedia del </w:t>
      </w:r>
      <w:r>
        <w:lastRenderedPageBreak/>
        <w:t>presente y los intelectuales y científicos deben redoblar su esfuerzo en la prédica por</w:t>
      </w:r>
      <w:r w:rsidR="004F47B5">
        <w:t xml:space="preserve"> una realidad más justa. Incluso algunos denuncian el abandono de la formación antirracista en disciplinas como la Antropología que, en la época del Particularismo norteamericano de las décadas del 20 al 40 del siglo XX, hizo fuerte hincapié en el respeto por las diferentes culturas y la diversidad humana con pensadores como Boas, </w:t>
      </w:r>
      <w:proofErr w:type="spellStart"/>
      <w:r w:rsidR="004F47B5">
        <w:t>M.Mead</w:t>
      </w:r>
      <w:proofErr w:type="spellEnd"/>
      <w:r w:rsidR="004F47B5">
        <w:t xml:space="preserve"> y Ruth </w:t>
      </w:r>
      <w:proofErr w:type="spellStart"/>
      <w:r w:rsidR="004F47B5">
        <w:t>Benedict</w:t>
      </w:r>
      <w:proofErr w:type="spellEnd"/>
      <w:r w:rsidR="004F47B5">
        <w:t>.</w:t>
      </w:r>
    </w:p>
    <w:p w:rsidR="004F47B5" w:rsidRDefault="004F47B5" w:rsidP="00583886">
      <w:pPr>
        <w:pStyle w:val="Sinespaciado"/>
        <w:jc w:val="both"/>
      </w:pPr>
    </w:p>
    <w:p w:rsidR="004F47B5" w:rsidRDefault="004F47B5" w:rsidP="00583886">
      <w:pPr>
        <w:pStyle w:val="Sinespaciado"/>
        <w:jc w:val="both"/>
      </w:pPr>
      <w:r>
        <w:t>Por otra parte, desde el punto de vista conceptual, las ciencias sociales y en especial la antropología y la sociología han desarrollado a lo largo de las últimas décadas un bagaje conceptual compartido que – más allá de matices y diferencias- puede convertirse en una valiosa ayuda en este ámbito.</w:t>
      </w:r>
    </w:p>
    <w:p w:rsidR="004F47B5" w:rsidRDefault="004F47B5" w:rsidP="00583886">
      <w:pPr>
        <w:pStyle w:val="Sinespaciado"/>
        <w:jc w:val="both"/>
      </w:pPr>
      <w:r>
        <w:t>Existe en la bibliografía cierto acuerdo en el uso de términos básicos que son empleados para el análisis y descripción de este tipo de fenómenos sociales</w:t>
      </w:r>
      <w:r w:rsidR="00AF3709">
        <w:t>:</w:t>
      </w:r>
    </w:p>
    <w:p w:rsidR="00A2433C" w:rsidRDefault="00A2433C" w:rsidP="00583886">
      <w:pPr>
        <w:pStyle w:val="Sinespaciado"/>
        <w:jc w:val="both"/>
      </w:pPr>
    </w:p>
    <w:p w:rsidR="00286D25" w:rsidRDefault="004F47B5" w:rsidP="00286D25">
      <w:pPr>
        <w:pStyle w:val="Sinespaciado"/>
        <w:numPr>
          <w:ilvl w:val="0"/>
          <w:numId w:val="17"/>
        </w:numPr>
        <w:jc w:val="both"/>
      </w:pPr>
      <w:r>
        <w:t xml:space="preserve">Empecemos por referirnos a los grupos étnicos. </w:t>
      </w:r>
      <w:r w:rsidR="00AF3709">
        <w:t>Cua</w:t>
      </w:r>
      <w:r w:rsidR="00A2433C">
        <w:t xml:space="preserve">ndo hablamos de </w:t>
      </w:r>
      <w:r w:rsidR="00A2433C">
        <w:rPr>
          <w:b/>
        </w:rPr>
        <w:t>etnicidad</w:t>
      </w:r>
      <w:r w:rsidR="00A2433C">
        <w:t xml:space="preserve"> nos referimos “a las prácticas culturales</w:t>
      </w:r>
      <w:r w:rsidR="00AF3709">
        <w:t xml:space="preserve"> y perspectivas que distinguen a una determinada comunidad de personas. Los miembros de los grupos étnicos se ven a sí mismos como culturalmente diferentes de otros grupos sociales, y son percibidos por los demás de igual manera.” (</w:t>
      </w:r>
      <w:proofErr w:type="spellStart"/>
      <w:r w:rsidR="00AF3709">
        <w:t>Giddens</w:t>
      </w:r>
      <w:proofErr w:type="spellEnd"/>
      <w:r w:rsidR="00AF3709">
        <w:t xml:space="preserve">, 2000: 277). La distinción entre grupos puede apoyarse en la lengua, la religión, la historia, las costumbres, etc.; pero lo importante es que las diferencias étnicas no obedecen a un sustrato biológico sino que son </w:t>
      </w:r>
      <w:r w:rsidR="00AF3709">
        <w:rPr>
          <w:i/>
        </w:rPr>
        <w:t>totalmente aprendidas</w:t>
      </w:r>
      <w:r w:rsidR="00AF3709">
        <w:t xml:space="preserve"> (al igual que los prejuicios frente a otros grupos caracterizados como “perezosos”, “peligrosos”, o “incapaces intelectualmente”).</w:t>
      </w:r>
    </w:p>
    <w:p w:rsidR="00AF3709" w:rsidRDefault="00AF3709" w:rsidP="00286D25">
      <w:pPr>
        <w:pStyle w:val="Sinespaciado"/>
        <w:ind w:left="720"/>
        <w:jc w:val="both"/>
      </w:pPr>
      <w:r>
        <w:t>Las divisiones étnicas producen frecuentemente conflictos donde tienen una enorme influencia los discursos y el uso de categorías de la práctica social basadas en la idea de “raza”, concepto del que nos ocuparemos a posteriori.</w:t>
      </w:r>
    </w:p>
    <w:p w:rsidR="00AF3709" w:rsidRDefault="00AF3709" w:rsidP="00AF3709">
      <w:pPr>
        <w:pStyle w:val="Sinespaciado"/>
        <w:ind w:left="360"/>
        <w:jc w:val="both"/>
      </w:pPr>
    </w:p>
    <w:p w:rsidR="00AF3709" w:rsidRDefault="00D93CDE" w:rsidP="00AF3709">
      <w:pPr>
        <w:pStyle w:val="Sinespaciado"/>
        <w:numPr>
          <w:ilvl w:val="0"/>
          <w:numId w:val="17"/>
        </w:numPr>
        <w:jc w:val="both"/>
      </w:pPr>
      <w:r>
        <w:t xml:space="preserve">Las relaciones asimétricas –tanto en términos étnicos como clasistas- generan y mantienen una relación asimétrica basada en una concepción </w:t>
      </w:r>
      <w:proofErr w:type="spellStart"/>
      <w:r>
        <w:t>estratificadora</w:t>
      </w:r>
      <w:proofErr w:type="spellEnd"/>
      <w:r>
        <w:t xml:space="preserve"> de las sociedades que supone una dominación de unos sobre otros, justificada a partir de argumentos </w:t>
      </w:r>
      <w:proofErr w:type="spellStart"/>
      <w:r>
        <w:t>biologicistas</w:t>
      </w:r>
      <w:proofErr w:type="spellEnd"/>
      <w:r>
        <w:t xml:space="preserve">, políticos, ideológicos o incluso raciales. Se oponen así pares irreconciliables –deudores de una lógica binaria omnicomprensiva- tanto en el terreno </w:t>
      </w:r>
      <w:proofErr w:type="spellStart"/>
      <w:r>
        <w:t>intraétnico</w:t>
      </w:r>
      <w:proofErr w:type="spellEnd"/>
      <w:r w:rsidR="007360DF">
        <w:t xml:space="preserve"> (</w:t>
      </w:r>
      <w:r w:rsidR="00BC0A4B">
        <w:t>ciudad – campo / blanco – negro</w:t>
      </w:r>
      <w:r w:rsidR="007360DF">
        <w:t xml:space="preserve">), interétnico (civilizado – salvaje / colonizador – colonizado), como así también clasista (rico – pobre / países desarrollados – Tercer mundo). Detrás de este encuadre clasificatorio subyace la voluntad hegemónica del poderoso que es guiada por un afán </w:t>
      </w:r>
      <w:proofErr w:type="spellStart"/>
      <w:r w:rsidR="007360DF">
        <w:t>asimilacionista</w:t>
      </w:r>
      <w:proofErr w:type="spellEnd"/>
      <w:r w:rsidR="007360DF">
        <w:t>.</w:t>
      </w:r>
    </w:p>
    <w:p w:rsidR="007360DF" w:rsidRDefault="007360DF" w:rsidP="007360DF">
      <w:pPr>
        <w:pStyle w:val="Sinespaciado"/>
        <w:ind w:left="720"/>
        <w:jc w:val="both"/>
      </w:pPr>
      <w:r>
        <w:t xml:space="preserve">El error esencial en esta construcción deriva de un fuerte presupuesto </w:t>
      </w:r>
      <w:proofErr w:type="spellStart"/>
      <w:r w:rsidRPr="007360DF">
        <w:t>etnocéntrico</w:t>
      </w:r>
      <w:proofErr w:type="spellEnd"/>
      <w:r>
        <w:t xml:space="preserve"> que rechaza toda diferencia cultural. El </w:t>
      </w:r>
      <w:r w:rsidRPr="007360DF">
        <w:rPr>
          <w:b/>
        </w:rPr>
        <w:t>etno</w:t>
      </w:r>
      <w:r>
        <w:rPr>
          <w:b/>
        </w:rPr>
        <w:t xml:space="preserve">centrismo </w:t>
      </w:r>
      <w:r>
        <w:t>implica juzgar al “otro” de acuerdo a nuestros propios parámetros. Las sociedades “extrañas” a la nuestra son menospreciadas y su historia es desconocida</w:t>
      </w:r>
      <w:r w:rsidR="00B909A2">
        <w:t>, o –peor aún- interpretada de acuerdo a nuestros criterios históricos. Surgen así visiones estereotipadas y la diferencia cultural es etiquetada, empobrecida, encasillada y evaluada en relación a las pautas de nuestros propios parámetros culturales. Por supuesto que dicha evaluación supone una jerarquía que subordina la difer</w:t>
      </w:r>
      <w:r w:rsidR="004D4ADE">
        <w:t>encia y construye a numerosos grupos en términos de “minorías”.</w:t>
      </w:r>
    </w:p>
    <w:p w:rsidR="00B909A2" w:rsidRDefault="00B909A2" w:rsidP="007360DF">
      <w:pPr>
        <w:pStyle w:val="Sinespaciado"/>
        <w:ind w:left="720"/>
        <w:jc w:val="both"/>
      </w:pPr>
    </w:p>
    <w:p w:rsidR="00B909A2" w:rsidRDefault="004D4ADE" w:rsidP="00B909A2">
      <w:pPr>
        <w:pStyle w:val="Sinespaciado"/>
        <w:numPr>
          <w:ilvl w:val="0"/>
          <w:numId w:val="17"/>
        </w:numPr>
        <w:jc w:val="both"/>
      </w:pPr>
      <w:r>
        <w:t xml:space="preserve">El concepto de </w:t>
      </w:r>
      <w:r>
        <w:rPr>
          <w:b/>
        </w:rPr>
        <w:t xml:space="preserve">minoría étnica </w:t>
      </w:r>
      <w:r>
        <w:t xml:space="preserve">–muy empleado en la sociología- representa algo más que una característica numérica. En las ciencias sociales, </w:t>
      </w:r>
      <w:r w:rsidR="00AF1B61">
        <w:t>“</w:t>
      </w:r>
      <w:r>
        <w:t>los miembros de un grupo minoritario se encuentran desfavorecidos en relación a la mayoría de la población y tienen un cierto sentido de solidaridad de grupo</w:t>
      </w:r>
      <w:r w:rsidR="00AF1B61">
        <w:t xml:space="preserve"> y pertenencia común. La experiencia de ser objetos de prejuicios y discriminación suele reforzar los sentimientos de lealtad y el interés común” (</w:t>
      </w:r>
      <w:proofErr w:type="spellStart"/>
      <w:r w:rsidR="00AF1B61">
        <w:t>Giddens</w:t>
      </w:r>
      <w:proofErr w:type="spellEnd"/>
      <w:r w:rsidR="00AF1B61">
        <w:t>, 2000: 280). Las distinciones étnicas no suelen ser neutrales y están relacionadas con desigualdades en cuanto a la riqueza y el poder.</w:t>
      </w:r>
    </w:p>
    <w:p w:rsidR="00AF1B61" w:rsidRDefault="00AF1B61" w:rsidP="00AF1B61">
      <w:pPr>
        <w:pStyle w:val="Sinespaciado"/>
        <w:ind w:left="720"/>
        <w:jc w:val="both"/>
      </w:pPr>
      <w:r>
        <w:lastRenderedPageBreak/>
        <w:t>Si bien no pretendemos entrar en el debate, existen discusiones acerca de la extensión del concepto de “minoría” a otros colectivos como las personas “</w:t>
      </w:r>
      <w:proofErr w:type="spellStart"/>
      <w:r>
        <w:t>trans</w:t>
      </w:r>
      <w:proofErr w:type="spellEnd"/>
      <w:r>
        <w:t>”, las personas con discapacidad, etc. Desde una lógica política inclusiva el mismo concepto de “minoría” debería desaparecer, pero sigue siendo una categoría</w:t>
      </w:r>
      <w:r w:rsidR="0038112B">
        <w:t xml:space="preserve"> de la práctica social vigente y muchas veces enarbolada como bandera de lucha por la ampliación de derechos.</w:t>
      </w:r>
    </w:p>
    <w:p w:rsidR="0038112B" w:rsidRDefault="0038112B" w:rsidP="00AF1B61">
      <w:pPr>
        <w:pStyle w:val="Sinespaciado"/>
        <w:ind w:left="720"/>
        <w:jc w:val="both"/>
      </w:pPr>
    </w:p>
    <w:p w:rsidR="0087048B" w:rsidRDefault="0038112B" w:rsidP="005B2F4F">
      <w:pPr>
        <w:pStyle w:val="Sinespaciado"/>
        <w:numPr>
          <w:ilvl w:val="0"/>
          <w:numId w:val="17"/>
        </w:numPr>
        <w:jc w:val="both"/>
      </w:pPr>
      <w:r>
        <w:t xml:space="preserve">Detrás de todas las prácticas y políticas basadas en la exclusión de la diferencia se encuentra un componente ampliamente generalizado que es el </w:t>
      </w:r>
      <w:r>
        <w:rPr>
          <w:b/>
        </w:rPr>
        <w:t>prejuicio.</w:t>
      </w:r>
      <w:r>
        <w:t xml:space="preserve"> El mismo hace referencia a opiniones o actitudes que tienen los miembros de un grupo respecto a otro. Son ideas preconcebidas y pueden tener un sesgo positivo o negativo (que es lo que sucede en la mayoría de las situaciones). En general se basan en rumores o comentarios de segunda mano (“me contaron que…”) más que en pruebas directas y poseen la característica –comprobada por múltiples estudios- de ser resistentes al cambio, aunque se acceda a más información que desmienta documentada y abiertamente al prejuicio en cuestión.</w:t>
      </w:r>
      <w:r w:rsidR="00B671D0">
        <w:t xml:space="preserve"> La imparcialidad y la distancia para evaluar son enemigos de las construcciones prejuiciosas.</w:t>
      </w:r>
    </w:p>
    <w:p w:rsidR="00C200A0" w:rsidRDefault="00C200A0" w:rsidP="00C200A0">
      <w:pPr>
        <w:pStyle w:val="Sinespaciado"/>
        <w:jc w:val="both"/>
      </w:pPr>
    </w:p>
    <w:p w:rsidR="00C200A0" w:rsidRDefault="00C200A0" w:rsidP="00C200A0">
      <w:pPr>
        <w:pStyle w:val="Sinespaciado"/>
        <w:numPr>
          <w:ilvl w:val="0"/>
          <w:numId w:val="17"/>
        </w:numPr>
        <w:jc w:val="both"/>
      </w:pPr>
      <w:r>
        <w:t xml:space="preserve">Es conveniente aclarar, sin justificarlos por cierto, que tanto el prejuicio como las construcciones </w:t>
      </w:r>
      <w:proofErr w:type="spellStart"/>
      <w:r>
        <w:t>etnocéntricas</w:t>
      </w:r>
      <w:proofErr w:type="spellEnd"/>
      <w:r>
        <w:t xml:space="preserve"> </w:t>
      </w:r>
      <w:r w:rsidR="00CF25C6">
        <w:t>-</w:t>
      </w:r>
      <w:r>
        <w:t xml:space="preserve"> esa combinación de recelo hacia los extranjeros que en muchos casos puede derivar en xenofobia y de la tendencia a evaluar las culturas</w:t>
      </w:r>
      <w:r w:rsidR="00CF25C6">
        <w:t xml:space="preserve"> ajenas en función de la propia -</w:t>
      </w:r>
      <w:r>
        <w:t xml:space="preserve"> son generalizadas en la experiencia de la mayoría de las culturas. Las formas de pensar en términos </w:t>
      </w:r>
      <w:proofErr w:type="spellStart"/>
      <w:r>
        <w:t>esterotipados</w:t>
      </w:r>
      <w:proofErr w:type="spellEnd"/>
      <w:r>
        <w:t xml:space="preserve"> o rígidos tienden a proteger y a “cerrar” a los grupos que ven amenazados su forma de vida o sus valores. </w:t>
      </w:r>
      <w:r w:rsidR="006F01CB">
        <w:t xml:space="preserve">El </w:t>
      </w:r>
      <w:r w:rsidR="006F01CB">
        <w:rPr>
          <w:b/>
        </w:rPr>
        <w:t xml:space="preserve">pensamiento </w:t>
      </w:r>
      <w:r w:rsidR="006F01CB" w:rsidRPr="00B2684A">
        <w:rPr>
          <w:b/>
        </w:rPr>
        <w:t>estereotipado</w:t>
      </w:r>
      <w:r w:rsidR="006F01CB">
        <w:t xml:space="preserve"> se nutre de categorías fijas e inflexibles. El acto de estereotipar posee mecanismos psicológicos de base como el desplazamiento (dirigir la hostilidad hacia objetos que no son el origen real de los sentimientos) o la proyección (atribución inconsciente a los demás de los propios deseos o características.</w:t>
      </w:r>
      <w:r w:rsidR="00015227">
        <w:t xml:space="preserve"> </w:t>
      </w:r>
      <w:r w:rsidRPr="006F01CB">
        <w:t>El</w:t>
      </w:r>
      <w:r>
        <w:t xml:space="preserve"> problema surge cuando estas actitudes son llevadas al extremo y utilizadas con fines claramente políticos por parte de determinados grupos.</w:t>
      </w:r>
    </w:p>
    <w:p w:rsidR="00CF25C6" w:rsidRDefault="00CF25C6" w:rsidP="00CF25C6">
      <w:pPr>
        <w:pStyle w:val="Prrafodelista"/>
      </w:pPr>
    </w:p>
    <w:p w:rsidR="006F01CB" w:rsidRDefault="00CF25C6" w:rsidP="006F01CB">
      <w:pPr>
        <w:pStyle w:val="Sinespaciado"/>
        <w:numPr>
          <w:ilvl w:val="0"/>
          <w:numId w:val="17"/>
        </w:numPr>
        <w:jc w:val="both"/>
      </w:pPr>
      <w:r>
        <w:t xml:space="preserve">El paso siguiente a las actitudes prejuiciosas consiste en la </w:t>
      </w:r>
      <w:r>
        <w:rPr>
          <w:b/>
        </w:rPr>
        <w:t>discriminación</w:t>
      </w:r>
      <w:r w:rsidR="00BC0A4B">
        <w:t xml:space="preserve"> que consiste en la </w:t>
      </w:r>
      <w:r w:rsidR="00BC0A4B">
        <w:rPr>
          <w:i/>
        </w:rPr>
        <w:t>conducta concreta y manifiesta</w:t>
      </w:r>
      <w:r w:rsidR="00BC0A4B">
        <w:t xml:space="preserve"> que se tiene frente a grupos o personas que son considerados </w:t>
      </w:r>
      <w:r w:rsidR="00BC0A4B">
        <w:rPr>
          <w:i/>
        </w:rPr>
        <w:t>ajenos</w:t>
      </w:r>
      <w:r w:rsidR="00BC0A4B">
        <w:t xml:space="preserve"> a los propios valores, clase social, etnia,</w:t>
      </w:r>
      <w:r w:rsidR="006F01CB">
        <w:t xml:space="preserve"> nación,</w:t>
      </w:r>
      <w:r w:rsidR="00BC0A4B">
        <w:t xml:space="preserve"> cultura o perspectiva de género. Se manifiesta en la privación de oportunidades que otros disfrutan, como cuando se le niega el trabajo</w:t>
      </w:r>
      <w:r w:rsidR="006F01CB">
        <w:t xml:space="preserve"> a un extranjero y se le ofrece a un argentino o cuando un empleador no contrata a una mujer para puestos de jerarquía. En general el prejuicio es la base de la discriminación, sin embargo puede no existir una relación lineal. Las personas pueden tener actitudes prejuiciosas que no influyan en sus actos o bien adoptar actitudes discriminatorias que no se asienten en un prejuicio previo (en general decisiones motivadas no por recelos o ideas previas personales sino por presiones económicas o sociales; donde las actitudes prejuiciosas influyen de una manera indirecta).</w:t>
      </w:r>
    </w:p>
    <w:p w:rsidR="00015227" w:rsidRDefault="00015227" w:rsidP="00015227">
      <w:pPr>
        <w:pStyle w:val="Prrafodelista"/>
      </w:pPr>
    </w:p>
    <w:p w:rsidR="00015227" w:rsidRDefault="00015227" w:rsidP="006F01CB">
      <w:pPr>
        <w:pStyle w:val="Sinespaciado"/>
        <w:numPr>
          <w:ilvl w:val="0"/>
          <w:numId w:val="17"/>
        </w:numPr>
        <w:jc w:val="both"/>
      </w:pPr>
      <w:r>
        <w:t xml:space="preserve">En la sociedad contemporánea subsiste un inmenso cúmulo de ideas </w:t>
      </w:r>
      <w:proofErr w:type="spellStart"/>
      <w:r>
        <w:t>etnocéntricas</w:t>
      </w:r>
      <w:proofErr w:type="spellEnd"/>
      <w:r>
        <w:t xml:space="preserve"> y discriminatorias a pesar de los posicionamientos teóricos de la Antropología y las Ciencias Sociales en general.</w:t>
      </w:r>
    </w:p>
    <w:p w:rsidR="00015227" w:rsidRDefault="00015227" w:rsidP="00015227">
      <w:pPr>
        <w:pStyle w:val="Sinespaciado"/>
        <w:ind w:left="708"/>
        <w:jc w:val="both"/>
      </w:pPr>
      <w:r>
        <w:t xml:space="preserve">En 1975 </w:t>
      </w:r>
      <w:proofErr w:type="spellStart"/>
      <w:r>
        <w:t>P.Wilson</w:t>
      </w:r>
      <w:proofErr w:type="spellEnd"/>
      <w:r>
        <w:t xml:space="preserve"> publicó en Estados Unidos un libro que marcó el nacimiento, para el gran público de una nueva disciplina llamada </w:t>
      </w:r>
      <w:proofErr w:type="spellStart"/>
      <w:r>
        <w:rPr>
          <w:i/>
        </w:rPr>
        <w:t>Sociobiología</w:t>
      </w:r>
      <w:proofErr w:type="spellEnd"/>
      <w:r>
        <w:t xml:space="preserve">. Su objetivo consiste en el estudio sistemático de las bases biológicas de todas las formas de comportamiento </w:t>
      </w:r>
      <w:r>
        <w:lastRenderedPageBreak/>
        <w:t>social, incluyendo el sexual y paterno de los distintos organismos (también de los seres humanos).</w:t>
      </w:r>
    </w:p>
    <w:p w:rsidR="00015227" w:rsidRDefault="00015227" w:rsidP="00015227">
      <w:pPr>
        <w:pStyle w:val="Sinespaciado"/>
        <w:ind w:left="708"/>
        <w:jc w:val="both"/>
      </w:pPr>
      <w:r>
        <w:t xml:space="preserve">Uno de los principios clave de su teoría es el de que los </w:t>
      </w:r>
      <w:r>
        <w:rPr>
          <w:i/>
        </w:rPr>
        <w:t>genes determinan abiertamente el comportamiento humano</w:t>
      </w:r>
      <w:r w:rsidR="006F3358">
        <w:rPr>
          <w:i/>
        </w:rPr>
        <w:t>,</w:t>
      </w:r>
      <w:r w:rsidR="006F3358">
        <w:t xml:space="preserve"> y que existen incluso genes egoístas o altruistas</w:t>
      </w:r>
      <w:r w:rsidR="006F3358">
        <w:rPr>
          <w:rStyle w:val="Refdenotaalpie"/>
        </w:rPr>
        <w:footnoteReference w:id="13"/>
      </w:r>
      <w:r w:rsidR="006F3358">
        <w:t>. La lectura de este postulado es muy simple: si todo comportamiento está genéticamente determinado, hay sociedades que pueden desarrollar ciertos avances en función de la carga genética de sus integrantes y otras que permanecen en un nivel inferior.</w:t>
      </w:r>
    </w:p>
    <w:p w:rsidR="006F3358" w:rsidRDefault="006F3358" w:rsidP="00015227">
      <w:pPr>
        <w:pStyle w:val="Sinespaciado"/>
        <w:ind w:left="708"/>
        <w:jc w:val="both"/>
      </w:pPr>
      <w:r>
        <w:t xml:space="preserve">Para estos investigadores, a través de la </w:t>
      </w:r>
      <w:r>
        <w:rPr>
          <w:i/>
        </w:rPr>
        <w:t>eugenesia</w:t>
      </w:r>
      <w:r>
        <w:t xml:space="preserve"> (palabra que significa “bien nacido”) se podrían reproducir los individuos con mejores atributos y eliminar a los que poseen una información genética “incorrecta” o no deseada. Pero hoy sabemos que atributos como la inteligencia, por ejemplo, no están determinados por un solo gen sino que hay múltiples factores en juego (alimentación, estímulo familiar, condiciones de vida, etc.) y, lo que es más importante, la ciencia biológica sabe con exactitud que la base genética nos permite acceder a la cultura, pero que no la determina. No podemos comprender al ser humano si no analizamos la profunda y compleja interacción entre lo biológico y lo cultural</w:t>
      </w:r>
      <w:r w:rsidR="005D3190">
        <w:t>. Incluso entre los animales existen ciertos comportamientos que no están influidos por el pool genético: un mono arborícola criado en cautiverio moriría rápidamente si fuera abandonado en la selva, pues no sería reconocido y aceptado por los de su propia especie. El animal desconocería por completo el comportamiento social de sus congéneres al haber sido criado y alimentado por humanos.</w:t>
      </w:r>
    </w:p>
    <w:p w:rsidR="005D3190" w:rsidRDefault="005D3190" w:rsidP="00015227">
      <w:pPr>
        <w:pStyle w:val="Sinespaciado"/>
        <w:ind w:left="708"/>
        <w:jc w:val="both"/>
      </w:pPr>
      <w:r>
        <w:rPr>
          <w:i/>
        </w:rPr>
        <w:t>El hombre interactúa con el ambiente a través de la cultura.</w:t>
      </w:r>
      <w:r>
        <w:t xml:space="preserve"> La </w:t>
      </w:r>
      <w:proofErr w:type="spellStart"/>
      <w:r>
        <w:t>Sociobiología</w:t>
      </w:r>
      <w:proofErr w:type="spellEnd"/>
      <w:r>
        <w:t xml:space="preserve"> para defender su posición debe atacar a las Ciencias Sociales y minimizar la diferencia entre herencia y aprendizaje, acto que implica un contenido fuertemente ideológico y valorativo. Para ejemplificar esta situación nos referiremos al tema de la </w:t>
      </w:r>
      <w:r>
        <w:rPr>
          <w:i/>
        </w:rPr>
        <w:t xml:space="preserve">inteligencia y la posibilidad de medirla a partir de </w:t>
      </w:r>
      <w:proofErr w:type="spellStart"/>
      <w:r>
        <w:rPr>
          <w:i/>
        </w:rPr>
        <w:t>tests</w:t>
      </w:r>
      <w:proofErr w:type="spellEnd"/>
      <w:r>
        <w:rPr>
          <w:i/>
        </w:rPr>
        <w:t xml:space="preserve"> estandarizados.</w:t>
      </w:r>
    </w:p>
    <w:p w:rsidR="005D3190" w:rsidRDefault="005D3190" w:rsidP="00015227">
      <w:pPr>
        <w:pStyle w:val="Sinespaciado"/>
        <w:ind w:left="708"/>
        <w:jc w:val="both"/>
      </w:pPr>
    </w:p>
    <w:p w:rsidR="005D3190" w:rsidRDefault="004F1E20" w:rsidP="005D3190">
      <w:pPr>
        <w:pStyle w:val="Sinespaciado"/>
        <w:numPr>
          <w:ilvl w:val="0"/>
          <w:numId w:val="19"/>
        </w:numPr>
        <w:jc w:val="both"/>
      </w:pPr>
      <w:r>
        <w:t xml:space="preserve">En relación al problema de la </w:t>
      </w:r>
      <w:r>
        <w:rPr>
          <w:b/>
        </w:rPr>
        <w:t>Inteligencia</w:t>
      </w:r>
      <w:r>
        <w:t xml:space="preserve"> existe un fuerte debate entre los </w:t>
      </w:r>
      <w:proofErr w:type="spellStart"/>
      <w:r>
        <w:t>biologicistas</w:t>
      </w:r>
      <w:proofErr w:type="spellEnd"/>
      <w:r>
        <w:t xml:space="preserve"> (quienes esgrimen factores hereditarios, raciales y genéticos para explicar las diferencias socioculturales) y los culturalistas o </w:t>
      </w:r>
      <w:proofErr w:type="spellStart"/>
      <w:r>
        <w:t>desbiologizadores</w:t>
      </w:r>
      <w:proofErr w:type="spellEnd"/>
      <w:r>
        <w:t xml:space="preserve"> (quienes otorgan mayor peso a la educación y la influencia del entorno) (Harris, 1989: 67).</w:t>
      </w:r>
    </w:p>
    <w:p w:rsidR="004F1E20" w:rsidRDefault="004F1E20" w:rsidP="004F1E20">
      <w:pPr>
        <w:pStyle w:val="Sinespaciado"/>
        <w:ind w:left="720"/>
        <w:jc w:val="both"/>
      </w:pPr>
      <w:r>
        <w:t xml:space="preserve">En 1995 </w:t>
      </w:r>
      <w:proofErr w:type="spellStart"/>
      <w:r>
        <w:t>Herrnstein</w:t>
      </w:r>
      <w:proofErr w:type="spellEnd"/>
      <w:r>
        <w:t xml:space="preserve"> (un psicólogo) y Murray (un politólogo) publicaron en Estados Unidos un difundido y polémico libro titulado </w:t>
      </w:r>
      <w:proofErr w:type="spellStart"/>
      <w:r>
        <w:rPr>
          <w:i/>
        </w:rPr>
        <w:t>The</w:t>
      </w:r>
      <w:proofErr w:type="spellEnd"/>
      <w:r>
        <w:rPr>
          <w:i/>
        </w:rPr>
        <w:t xml:space="preserve"> </w:t>
      </w:r>
      <w:proofErr w:type="spellStart"/>
      <w:r>
        <w:rPr>
          <w:i/>
        </w:rPr>
        <w:t>bell</w:t>
      </w:r>
      <w:proofErr w:type="spellEnd"/>
      <w:r>
        <w:rPr>
          <w:i/>
        </w:rPr>
        <w:t xml:space="preserve"> curve</w:t>
      </w:r>
      <w:r>
        <w:rPr>
          <w:rStyle w:val="Refdenotaalpie"/>
          <w:i/>
        </w:rPr>
        <w:footnoteReference w:id="14"/>
      </w:r>
      <w:r>
        <w:t>, u</w:t>
      </w:r>
      <w:r w:rsidR="00F16209">
        <w:t xml:space="preserve">n texto que propugna la inmutabilidad del coeficiente de inteligencia (CI) y aboga por una estructura segmentada y desigual de clases basadas en la inteligencia. En función de los resultados de los </w:t>
      </w:r>
      <w:proofErr w:type="spellStart"/>
      <w:r w:rsidR="00F16209">
        <w:t>tests</w:t>
      </w:r>
      <w:proofErr w:type="spellEnd"/>
      <w:r w:rsidR="00F16209">
        <w:t xml:space="preserve"> existiría una “elite cognoscitiva”: un grupo </w:t>
      </w:r>
      <w:proofErr w:type="spellStart"/>
      <w:r w:rsidR="00F16209">
        <w:t>meritocrático</w:t>
      </w:r>
      <w:proofErr w:type="spellEnd"/>
      <w:r w:rsidR="00F16209">
        <w:t xml:space="preserve"> cuya riqueza y poder proviene de su inteligencia, una “</w:t>
      </w:r>
      <w:proofErr w:type="spellStart"/>
      <w:r w:rsidR="00F16209">
        <w:t>infraclase</w:t>
      </w:r>
      <w:proofErr w:type="spellEnd"/>
      <w:r w:rsidR="00F16209">
        <w:t>” que queda rezagada con respecto al resto de la población y una “clase media cognoscitiva”. Parece a simple vista un paso de comedia, pero el libro tuvo amplia difusión pública y en medios intelectuales e incluso los autores plantearon que el bajo CI generaba “patologías sociales” y que las sociedades modernas debían aprender a convivir con la desigualdad.</w:t>
      </w:r>
    </w:p>
    <w:p w:rsidR="00B958A6" w:rsidRDefault="00B958A6" w:rsidP="004F1E20">
      <w:pPr>
        <w:pStyle w:val="Sinespaciado"/>
        <w:ind w:left="720"/>
        <w:jc w:val="both"/>
      </w:pPr>
      <w:r>
        <w:t>Sabemos, por supuesto, que la desigualdad no es un destino “natural” ni una “patología social” sino que responde a profundas causas políticas, económicas y socioculturales: es el Estado el que debe garantizar la igualdad de oportunidades y promover una redistribución equitativa de la riqueza a partir de sus políticas públicas.</w:t>
      </w:r>
    </w:p>
    <w:p w:rsidR="002A06BF" w:rsidRDefault="002A06BF" w:rsidP="004F1E20">
      <w:pPr>
        <w:pStyle w:val="Sinespaciado"/>
        <w:ind w:left="720"/>
        <w:jc w:val="both"/>
      </w:pPr>
    </w:p>
    <w:p w:rsidR="00B958A6" w:rsidRDefault="00B958A6" w:rsidP="004F1E20">
      <w:pPr>
        <w:pStyle w:val="Sinespaciado"/>
        <w:ind w:left="720"/>
        <w:jc w:val="both"/>
      </w:pPr>
      <w:r>
        <w:lastRenderedPageBreak/>
        <w:t xml:space="preserve">Pero volvamos a la cuestión de la inteligencia: en primer lugar </w:t>
      </w:r>
      <w:r>
        <w:rPr>
          <w:b/>
        </w:rPr>
        <w:t>¿Qué es aquello que denominamos “inteligencia”?</w:t>
      </w:r>
      <w:r>
        <w:t xml:space="preserve"> ¿Podemos partir de una definición consensuada? ¿Es una entidad discreta susceptible de ser medida?</w:t>
      </w:r>
    </w:p>
    <w:p w:rsidR="00D85608" w:rsidRDefault="00B958A6" w:rsidP="004F1E20">
      <w:pPr>
        <w:pStyle w:val="Sinespaciado"/>
        <w:ind w:left="720"/>
        <w:jc w:val="both"/>
      </w:pPr>
      <w:r>
        <w:t xml:space="preserve">La respuesta es claramente negativa, la inteligencia no es una realidad externa mensurable, una suerte de “cualidad o calidad de posesión” por parte de determinadas personas o grupos. </w:t>
      </w:r>
      <w:r w:rsidR="00D85608">
        <w:t xml:space="preserve">Sin embargo “la idea de que los </w:t>
      </w:r>
      <w:proofErr w:type="spellStart"/>
      <w:r w:rsidR="00D85608">
        <w:t>tests</w:t>
      </w:r>
      <w:proofErr w:type="spellEnd"/>
      <w:r w:rsidR="00D85608">
        <w:t xml:space="preserve"> de inteligencia miden una entidad heredable que llamamos G (o “inteligencia general”), cuya distribución varía de una raza a otra y de un sexo a otro, independientemente de los condicionamientos socioculturales y ambientales de otro tipo, ha demostrado ejercer una</w:t>
      </w:r>
      <w:r w:rsidR="002A06BF">
        <w:t xml:space="preserve"> atracción irresistible” (Harris, 1989: 96).</w:t>
      </w:r>
    </w:p>
    <w:p w:rsidR="00B958A6" w:rsidRDefault="00B958A6" w:rsidP="004F1E20">
      <w:pPr>
        <w:pStyle w:val="Sinespaciado"/>
        <w:ind w:left="720"/>
        <w:jc w:val="both"/>
      </w:pPr>
      <w:r>
        <w:t xml:space="preserve">Los antropólogos han demostrado que todos los </w:t>
      </w:r>
      <w:proofErr w:type="spellStart"/>
      <w:r>
        <w:t>tests</w:t>
      </w:r>
      <w:proofErr w:type="spellEnd"/>
      <w:r>
        <w:t xml:space="preserve"> de inteligencia poseen sesgos culturales, es decir que las preguntas, consignas y ejercicios responden a requerimientos o conocimientos valorado</w:t>
      </w:r>
      <w:r w:rsidR="00283618">
        <w:t>s en esa cultura en particular; una persona que provenga de otra cultura estará en evidente desventaja al responder el test.</w:t>
      </w:r>
    </w:p>
    <w:p w:rsidR="00283618" w:rsidRDefault="00283618" w:rsidP="004F1E20">
      <w:pPr>
        <w:pStyle w:val="Sinespaciado"/>
        <w:ind w:left="720"/>
        <w:jc w:val="both"/>
      </w:pPr>
      <w:r>
        <w:t xml:space="preserve">En segundo lugar, la mayoría de los </w:t>
      </w:r>
      <w:proofErr w:type="spellStart"/>
      <w:r>
        <w:t>tests</w:t>
      </w:r>
      <w:proofErr w:type="spellEnd"/>
      <w:r>
        <w:t xml:space="preserve"> (de</w:t>
      </w:r>
      <w:r w:rsidR="00D85608">
        <w:t xml:space="preserve">sde el pionero test de </w:t>
      </w:r>
      <w:proofErr w:type="spellStart"/>
      <w:r w:rsidR="00D85608">
        <w:t>Binet</w:t>
      </w:r>
      <w:proofErr w:type="spellEnd"/>
      <w:r w:rsidR="00D85608">
        <w:t xml:space="preserve"> de 1905 hasta las matrices de valoración de </w:t>
      </w:r>
      <w:proofErr w:type="spellStart"/>
      <w:r w:rsidR="00D85608">
        <w:t>Raven</w:t>
      </w:r>
      <w:proofErr w:type="spellEnd"/>
      <w:r w:rsidR="00D85608">
        <w:t>, por citar sólo dos de los más conocidos) hacen hincapié en el pensamiento lógico – matemático, descuidando o al menos relegando otros tipos de inteligencia: musical, cinética, espacial o lingüística.</w:t>
      </w:r>
    </w:p>
    <w:p w:rsidR="002A06BF" w:rsidRDefault="002A06BF" w:rsidP="004F1E20">
      <w:pPr>
        <w:pStyle w:val="Sinespaciado"/>
        <w:ind w:left="720"/>
        <w:jc w:val="both"/>
      </w:pPr>
      <w:r>
        <w:t xml:space="preserve">Finalmente  -y no se trata de una cuestión menor pues es una creencia generalizada de los sistemas educativos- cabría preguntarnos si los </w:t>
      </w:r>
      <w:proofErr w:type="spellStart"/>
      <w:r>
        <w:t>tests</w:t>
      </w:r>
      <w:proofErr w:type="spellEnd"/>
      <w:r>
        <w:t xml:space="preserve"> de inteligencia miden algo más que la capacidad de superar </w:t>
      </w:r>
      <w:proofErr w:type="spellStart"/>
      <w:r>
        <w:t>tests</w:t>
      </w:r>
      <w:proofErr w:type="spellEnd"/>
      <w:r>
        <w:t xml:space="preserve"> de inteligencia (podemos reemplazar los </w:t>
      </w:r>
      <w:proofErr w:type="spellStart"/>
      <w:r>
        <w:t>tests</w:t>
      </w:r>
      <w:proofErr w:type="spellEnd"/>
      <w:r>
        <w:t xml:space="preserve"> por las pruebas estandarizadas de rendimiento escolar). La sensibilidad, la capacidad de empatía, la solidaridad grupal –que son otras formas de inteligencia- quedan fuera de la posibilidad de ser evaluadas.</w:t>
      </w:r>
    </w:p>
    <w:p w:rsidR="003F1B6C" w:rsidRDefault="003F1B6C" w:rsidP="004F1E20">
      <w:pPr>
        <w:pStyle w:val="Sinespaciado"/>
        <w:ind w:left="720"/>
        <w:jc w:val="both"/>
      </w:pPr>
    </w:p>
    <w:p w:rsidR="00FA35D9" w:rsidRDefault="003F1B6C" w:rsidP="00FA35D9">
      <w:pPr>
        <w:pStyle w:val="Sinespaciado"/>
        <w:numPr>
          <w:ilvl w:val="0"/>
          <w:numId w:val="19"/>
        </w:numPr>
        <w:jc w:val="both"/>
      </w:pPr>
      <w:r>
        <w:t xml:space="preserve">Finalmente debemos abordar en este punto la compleja problemática del </w:t>
      </w:r>
      <w:r>
        <w:rPr>
          <w:b/>
        </w:rPr>
        <w:t>racismo</w:t>
      </w:r>
      <w:r>
        <w:t xml:space="preserve"> como un fenómeno vigente y en crecimiento a pesar de las argumentaciones en contra de la noción de </w:t>
      </w:r>
      <w:r>
        <w:rPr>
          <w:b/>
        </w:rPr>
        <w:t>raza</w:t>
      </w:r>
      <w:r>
        <w:t xml:space="preserve"> que ha venido realizando la antropología social desde la</w:t>
      </w:r>
      <w:r w:rsidR="006B7CA6">
        <w:t>s primeras décadas del siglo XX.</w:t>
      </w:r>
      <w:r w:rsidR="00FA35D9">
        <w:t xml:space="preserve"> Desde esta disciplina se ha postulado la unidad cognitiva de la especie humana y la capacidad universal de todos los pueblos para las construcciones culturales.</w:t>
      </w:r>
    </w:p>
    <w:p w:rsidR="00FA35D9" w:rsidRDefault="00FA35D9" w:rsidP="00FA35D9">
      <w:pPr>
        <w:pStyle w:val="Sinespaciado"/>
        <w:ind w:left="720"/>
        <w:jc w:val="both"/>
      </w:pPr>
      <w:r>
        <w:t xml:space="preserve">También desde la antropología biológica se ha reemplazado el tradicional concepto de </w:t>
      </w:r>
      <w:r>
        <w:rPr>
          <w:i/>
        </w:rPr>
        <w:t>raza</w:t>
      </w:r>
      <w:r>
        <w:t xml:space="preserve"> por el más apropiado de </w:t>
      </w:r>
      <w:r>
        <w:rPr>
          <w:i/>
        </w:rPr>
        <w:t>población</w:t>
      </w:r>
      <w:r>
        <w:t>, al que define como un conjunto de individuos que habitan dentro de un área determinada, entre los cuáles la frecuencia e entrecruzamientos es mayor que entre ellos y otras poblaciones. Este término, a diferencia del de raza que se funda en clasificaciones construidas en función de rasgos morfológicos externos, posee un mayor dinamismo ya que permite analizar variaciones continuas en el espacio y considera el factor procesual.</w:t>
      </w:r>
    </w:p>
    <w:p w:rsidR="00FA35D9" w:rsidRDefault="00FA35D9" w:rsidP="00FA35D9">
      <w:pPr>
        <w:pStyle w:val="Sinespaciado"/>
        <w:ind w:left="720"/>
        <w:jc w:val="both"/>
      </w:pPr>
      <w:r>
        <w:t>Actualmente, se ha abandonado el criterio tipológico de rasgos discretos y se intenta estudiar al conjunto de las poblaciones humanas a través de la interacción de lo biológico</w:t>
      </w:r>
      <w:r w:rsidR="0008102C">
        <w:t xml:space="preserve"> con lo sociocultural.</w:t>
      </w:r>
    </w:p>
    <w:p w:rsidR="0008102C" w:rsidRDefault="0008102C" w:rsidP="00FA35D9">
      <w:pPr>
        <w:pStyle w:val="Sinespaciado"/>
        <w:ind w:left="720"/>
        <w:jc w:val="both"/>
      </w:pPr>
    </w:p>
    <w:p w:rsidR="0008102C" w:rsidRDefault="0008102C" w:rsidP="00FA35D9">
      <w:pPr>
        <w:pStyle w:val="Sinespaciado"/>
        <w:ind w:left="720"/>
        <w:jc w:val="both"/>
      </w:pPr>
      <w:r>
        <w:t>Sin embargo, a pesar de la demostración científica de que las “razas” humanas son una abstracción indefendible que sólo puede inscribirse en un contexto emocional e ideológico, el uso social de la categoría “raza” imprime una potencia inusual a amplios movimientos políticos y sociales contemporáneos.</w:t>
      </w:r>
    </w:p>
    <w:p w:rsidR="0008102C" w:rsidRDefault="0008102C" w:rsidP="00FA35D9">
      <w:pPr>
        <w:pStyle w:val="Sinespaciado"/>
        <w:ind w:left="720"/>
        <w:jc w:val="both"/>
      </w:pPr>
      <w:r>
        <w:t>Para comprender la vigencia del racismo en las sociedades actuales se impone una breve descripción histórica del concepto.</w:t>
      </w:r>
    </w:p>
    <w:p w:rsidR="0008102C" w:rsidRPr="00FA35D9" w:rsidRDefault="0008102C" w:rsidP="00FA35D9">
      <w:pPr>
        <w:pStyle w:val="Sinespaciado"/>
        <w:ind w:left="720"/>
        <w:jc w:val="both"/>
      </w:pPr>
    </w:p>
    <w:p w:rsidR="00E84EAF" w:rsidRDefault="00E84EAF" w:rsidP="00E84EAF">
      <w:pPr>
        <w:pStyle w:val="Sinespaciado"/>
        <w:ind w:left="720"/>
        <w:jc w:val="both"/>
      </w:pPr>
      <w:r>
        <w:t xml:space="preserve">Existen actitudes cercanas al racismo desde la antigüedad pero el concepto moderno de raza, concebido como un conjunto de características discretas heredadas, se origina en Europa en los siglos XVIII y XIX y se vincula a la expansión colonial. Para muchos, el padre </w:t>
      </w:r>
      <w:r>
        <w:lastRenderedPageBreak/>
        <w:t xml:space="preserve">del mal llamado “racismo científico” es el Conde de </w:t>
      </w:r>
      <w:proofErr w:type="spellStart"/>
      <w:r>
        <w:t>Gobineau</w:t>
      </w:r>
      <w:proofErr w:type="spellEnd"/>
      <w:r>
        <w:t xml:space="preserve"> (1816 – 1882) quién planteó una jerarquía de razas: blanca, amarilla y negra. A cada una de ellas le atribuía características morales, emocionales e intelectuales decrecientes, siendo la raza blanca la superior y la negra la más cercana al mundo natural por su escasa dotación de valores y capacidades.</w:t>
      </w:r>
    </w:p>
    <w:p w:rsidR="00E84EAF" w:rsidRDefault="00E84EAF" w:rsidP="00E84EAF">
      <w:pPr>
        <w:pStyle w:val="Sinespaciado"/>
        <w:ind w:left="720"/>
        <w:jc w:val="both"/>
      </w:pPr>
      <w:r>
        <w:t xml:space="preserve">Dicha idea de superioridad blanca carece por completo de fundamento empírico –lo veremos a continuación- pero sigue siendo un elemento </w:t>
      </w:r>
      <w:proofErr w:type="spellStart"/>
      <w:r>
        <w:t>justificatorio</w:t>
      </w:r>
      <w:proofErr w:type="spellEnd"/>
      <w:r>
        <w:t xml:space="preserve"> clave en la construcción de discursos y prácticas racistas.</w:t>
      </w:r>
    </w:p>
    <w:p w:rsidR="007A2EFE" w:rsidRDefault="007A2EFE" w:rsidP="00E84EAF">
      <w:pPr>
        <w:pStyle w:val="Sinespaciado"/>
        <w:ind w:left="720"/>
        <w:jc w:val="both"/>
      </w:pPr>
      <w:r>
        <w:t xml:space="preserve">La atribución de características morales a los grupos humanos en función de sus rasgos físicos externos obedece a una lógica </w:t>
      </w:r>
      <w:r w:rsidR="004817C7">
        <w:t>de exclusión de los mismos al acceso de bienes simbólicos y materiales que una sociedad percibe como valiosos en un momento determinado (los ejemplos de la negación de la participación de los negros o de los pueblos originarios en amplios ámbitos de la vida pública como el acceso a los servicios públicos, la salud, la educación, la propiedad de la tierra y la participación política son bien conocidos).</w:t>
      </w:r>
    </w:p>
    <w:p w:rsidR="00C50C6B" w:rsidRDefault="00C50C6B" w:rsidP="00E84EAF">
      <w:pPr>
        <w:pStyle w:val="Sinespaciado"/>
        <w:ind w:left="720"/>
        <w:jc w:val="both"/>
      </w:pPr>
      <w:r>
        <w:t xml:space="preserve">Para Michel </w:t>
      </w:r>
      <w:proofErr w:type="spellStart"/>
      <w:r>
        <w:t>Wieviorka</w:t>
      </w:r>
      <w:proofErr w:type="spellEnd"/>
      <w:r>
        <w:t xml:space="preserve"> (2000) si bien el racismo científico ha caído en un descrédito profundo en las sociedades occidentales luego de la experiencia del nazismo, existen hoy otras modalidades veladas de discriminación como el racismo institucional, que oculta la existencia concreta de los sujetos racistas. Para este pens</w:t>
      </w:r>
      <w:r w:rsidR="007109B1">
        <w:t>ador el racismo se configura</w:t>
      </w:r>
      <w:r>
        <w:t xml:space="preserve"> en distintos niveles: desde las formas más desarticuladas e inorgánicas</w:t>
      </w:r>
      <w:r w:rsidR="007109B1">
        <w:t xml:space="preserve"> en un espacio </w:t>
      </w:r>
      <w:proofErr w:type="spellStart"/>
      <w:r w:rsidR="007109B1">
        <w:t>infrapolítico</w:t>
      </w:r>
      <w:proofErr w:type="spellEnd"/>
      <w:r>
        <w:t xml:space="preserve"> hasta un pasaje al plano político</w:t>
      </w:r>
      <w:r w:rsidR="007109B1">
        <w:t xml:space="preserve"> al incluirse en las plataformas de partidos y movimientos. El nivel superior estaría constituido por el racismo de Estado, cuyos ejemplos históricos más salientes fueron el nazismo y el apartheid sudafricano.</w:t>
      </w:r>
    </w:p>
    <w:p w:rsidR="0003536E" w:rsidRDefault="0003536E" w:rsidP="0008102C">
      <w:pPr>
        <w:pStyle w:val="Sinespaciado"/>
        <w:rPr>
          <w:b/>
          <w:u w:val="single"/>
        </w:rPr>
      </w:pPr>
    </w:p>
    <w:p w:rsidR="0003536E" w:rsidRDefault="0003536E" w:rsidP="00545FEC">
      <w:pPr>
        <w:pStyle w:val="Sinespaciado"/>
        <w:jc w:val="center"/>
        <w:rPr>
          <w:b/>
          <w:u w:val="single"/>
        </w:rPr>
      </w:pPr>
    </w:p>
    <w:p w:rsidR="00545FEC" w:rsidRPr="00545FEC" w:rsidRDefault="00545FEC" w:rsidP="00545FEC">
      <w:pPr>
        <w:pStyle w:val="Sinespaciado"/>
        <w:jc w:val="both"/>
        <w:rPr>
          <w:b/>
          <w:u w:val="single"/>
        </w:rPr>
      </w:pPr>
    </w:p>
    <w:p w:rsidR="00121D32" w:rsidRPr="001D7E2F" w:rsidRDefault="001D7E2F" w:rsidP="00696526">
      <w:pPr>
        <w:pStyle w:val="Sinespaciado"/>
        <w:numPr>
          <w:ilvl w:val="0"/>
          <w:numId w:val="9"/>
        </w:numPr>
        <w:jc w:val="center"/>
        <w:rPr>
          <w:b/>
          <w:u w:val="single"/>
        </w:rPr>
      </w:pPr>
      <w:r>
        <w:rPr>
          <w:b/>
          <w:u w:val="single"/>
        </w:rPr>
        <w:t>Discusiones conceptuales en torno a las perspectivas de género</w:t>
      </w:r>
    </w:p>
    <w:p w:rsidR="00085E19" w:rsidRDefault="00085E19" w:rsidP="00085E19">
      <w:pPr>
        <w:pStyle w:val="Sinespaciado"/>
        <w:jc w:val="both"/>
      </w:pPr>
    </w:p>
    <w:p w:rsidR="00DE04DD" w:rsidRDefault="00DE04DD" w:rsidP="006E787F">
      <w:pPr>
        <w:pStyle w:val="Sinespaciado"/>
        <w:jc w:val="both"/>
      </w:pPr>
    </w:p>
    <w:p w:rsidR="00F501EC" w:rsidRDefault="006A6DAB" w:rsidP="00F501EC">
      <w:pPr>
        <w:jc w:val="both"/>
      </w:pPr>
      <w:r>
        <w:t>Las cuestiones relativas a la perspectiva de género, ya desde la década pasada, han llegado para quedarse en las propuestas educativas.</w:t>
      </w:r>
      <w:r w:rsidR="00F501EC">
        <w:t xml:space="preserve"> Hay un dato que no es menor en nuestra historia y está asociado a la no exclusión de las mujeres en la Ley 1420 de Educación ya a fines del siglo XX. (María Luisa </w:t>
      </w:r>
      <w:proofErr w:type="spellStart"/>
      <w:r w:rsidR="00F501EC">
        <w:t>Femenías</w:t>
      </w:r>
      <w:proofErr w:type="spellEnd"/>
      <w:r w:rsidR="00F501EC">
        <w:t xml:space="preserve">: 2018). </w:t>
      </w:r>
    </w:p>
    <w:p w:rsidR="009F7CDD" w:rsidRDefault="00F501EC" w:rsidP="00467B91">
      <w:pPr>
        <w:jc w:val="both"/>
      </w:pPr>
      <w:r>
        <w:t xml:space="preserve">La noción de género es tardía y aparece a fines de la década de los 50 del siglo XX en el contexto de la lucha por la ampliación de derechos de las mujeres; asociado a una primera analogía: </w:t>
      </w:r>
      <w:r>
        <w:rPr>
          <w:i/>
        </w:rPr>
        <w:t>el sexo es a la naturaleza lo que el género a la cultura.</w:t>
      </w:r>
      <w:r>
        <w:t xml:space="preserve"> Pero en los años </w:t>
      </w:r>
      <w:r w:rsidR="004F2CC7">
        <w:t>70 y 80’s</w:t>
      </w:r>
      <w:r>
        <w:t xml:space="preserve"> ese punto de partida se complejiza y se pone en cuestión la relación causal y estrecha entre género y sexo</w:t>
      </w:r>
      <w:r w:rsidR="004F2CC7">
        <w:t xml:space="preserve"> (Butler: 1986).</w:t>
      </w:r>
      <w:r w:rsidR="009F7CDD">
        <w:t xml:space="preserve"> La distinción entre sexo y género ya no es tan tajante como en la época de los primeros debates teóricos.</w:t>
      </w:r>
    </w:p>
    <w:p w:rsidR="00467B91" w:rsidRDefault="009C1BAE" w:rsidP="00F501EC">
      <w:pPr>
        <w:jc w:val="both"/>
      </w:pPr>
      <w:r>
        <w:t xml:space="preserve"> E</w:t>
      </w:r>
      <w:r w:rsidR="00467B91">
        <w:t>l interés por la “problemática” de género es más que académico. Involucra un deseo de cambio y la emergencia de un orden social y cultural en el cual el desarrollo de las potencialidades humanas esté abierto tanto a las mujeres como a los hombres. Se trata, en definitiva, del cambio de una forma de vida y de la ideología que la ha</w:t>
      </w:r>
      <w:r>
        <w:t xml:space="preserve"> sustentado por miles de años (Facio</w:t>
      </w:r>
      <w:r w:rsidR="008F1999">
        <w:t>: 2005</w:t>
      </w:r>
      <w:r>
        <w:t>)</w:t>
      </w:r>
      <w:r w:rsidR="006C2343">
        <w:t>.</w:t>
      </w:r>
    </w:p>
    <w:p w:rsidR="009D5D12" w:rsidRDefault="009D5D12" w:rsidP="00F501EC">
      <w:pPr>
        <w:jc w:val="both"/>
      </w:pPr>
      <w:r>
        <w:t>La conceptualización teórica y política del término “género” y su relación con la categoría “sexo” representan la mayor conquista del feminismo contemporáneo, que ha utilizado el género para instalar la problemática de la desigualdad sexual en varios escenarios de intervención social, de lucha ciudadana y de producción académica (Nelly Richard, 2002).</w:t>
      </w:r>
    </w:p>
    <w:p w:rsidR="0095509C" w:rsidRPr="00F501EC" w:rsidRDefault="0095509C" w:rsidP="00F501EC">
      <w:pPr>
        <w:jc w:val="both"/>
      </w:pPr>
      <w:r>
        <w:t xml:space="preserve">La importancia que posee el concepto de género recuerda el papel desempeñado por el de clase en la teoría marxista; por el hecho de que es un término que también se inscribe en una lectura crítica de las relaciones de opresión y desigualdad humanas. La utilización del “género” por el </w:t>
      </w:r>
      <w:r>
        <w:lastRenderedPageBreak/>
        <w:t>feminismo permitió reflexionar sobre las implicaciones de las relaciones de reproducción basadas en el rol que desempeñan las mujeres en la estructura social, dividiendo el espacio social</w:t>
      </w:r>
      <w:r w:rsidR="00554F6D">
        <w:t xml:space="preserve"> en regiones desigualmente valoradas según reciben la connotación de masculino (lo público) o bien de lo femenino (lo privado). Esta connotación cerrada, íntima y subjetiva de lo privado desvincula a las mujeres de los espacios de reconocimiento del poder.</w:t>
      </w:r>
    </w:p>
    <w:p w:rsidR="00DD38F1" w:rsidRDefault="006A6DAB" w:rsidP="00F501EC">
      <w:pPr>
        <w:jc w:val="both"/>
      </w:pPr>
      <w:r>
        <w:t xml:space="preserve"> A priori deberíamos establecer algunos aspectos conceptuales que nos sirvan de orientación teórico-pedagógica para abordar dicha temática</w:t>
      </w:r>
      <w:r w:rsidR="0029203F">
        <w:t>. Un primer aspecto remite a tomar en cuenta la complejidad de la categoría “género”</w:t>
      </w:r>
      <w:r w:rsidR="00DD38F1">
        <w:t xml:space="preserve"> y a la imposibilidad de partir de un concepto unívoco y cerrado que articule la propuesta educativa. </w:t>
      </w:r>
    </w:p>
    <w:p w:rsidR="00DE04DD" w:rsidRDefault="00DD38F1" w:rsidP="00F501EC">
      <w:pPr>
        <w:jc w:val="both"/>
      </w:pPr>
      <w:r>
        <w:t>Sin embargo partimos de algunas ideas-eje e</w:t>
      </w:r>
      <w:r w:rsidR="006A6DAB">
        <w:t>n función de la producción que –desde diversos campos disciplinares- ha tenido lugar desde fines de los años 80 a esta parte:</w:t>
      </w:r>
    </w:p>
    <w:p w:rsidR="009D5D12" w:rsidRDefault="009D5D12" w:rsidP="009D5D12">
      <w:pPr>
        <w:pStyle w:val="Prrafodelista"/>
        <w:numPr>
          <w:ilvl w:val="0"/>
          <w:numId w:val="19"/>
        </w:numPr>
        <w:jc w:val="both"/>
      </w:pPr>
      <w:r>
        <w:t xml:space="preserve">La palabra “género” –cuya etimología deriva del verbo latino </w:t>
      </w:r>
      <w:r>
        <w:rPr>
          <w:i/>
        </w:rPr>
        <w:t>generare</w:t>
      </w:r>
      <w:r>
        <w:t xml:space="preserve"> (engendrar) y del prefijo latino </w:t>
      </w:r>
      <w:proofErr w:type="spellStart"/>
      <w:r>
        <w:rPr>
          <w:i/>
        </w:rPr>
        <w:t>gener</w:t>
      </w:r>
      <w:proofErr w:type="spellEnd"/>
      <w:r>
        <w:t xml:space="preserve"> (raza, clase)- cruza, en su raíz misma la dimensión propiamente sexual del “engendramiento” con la dimensión taxonómica que remite a un principio de identificación y clasificación, de tipificación </w:t>
      </w:r>
      <w:r w:rsidR="0095509C">
        <w:t xml:space="preserve">de propiedades y diferencias, de fijación de atributos mediante definiciones (Nelly Richard, 2002). </w:t>
      </w:r>
      <w:r w:rsidR="0095509C" w:rsidRPr="00554F6D">
        <w:rPr>
          <w:i/>
        </w:rPr>
        <w:t>La teorización feminista recoge esta segunda dimensión</w:t>
      </w:r>
      <w:r w:rsidR="0095509C">
        <w:t xml:space="preserve"> y muestra como este concepto regulador de las identificaciones genéricas otorga significado a la identidad y diferencia sexuales de acuerdo con un determinado sistema de clasificación simbólica.</w:t>
      </w:r>
    </w:p>
    <w:p w:rsidR="0095509C" w:rsidRDefault="0095509C" w:rsidP="0095509C">
      <w:pPr>
        <w:pStyle w:val="Prrafodelista"/>
        <w:jc w:val="both"/>
      </w:pPr>
    </w:p>
    <w:p w:rsidR="006C2343" w:rsidRDefault="006C2343" w:rsidP="006C2343">
      <w:pPr>
        <w:pStyle w:val="Prrafodelista"/>
        <w:numPr>
          <w:ilvl w:val="0"/>
          <w:numId w:val="13"/>
        </w:numPr>
        <w:jc w:val="both"/>
      </w:pPr>
      <w:r w:rsidRPr="00DD38F1">
        <w:rPr>
          <w:i/>
        </w:rPr>
        <w:t>El género (al igual que el sexo) es un concepto, una construcción teórica; no constituye una porción de la realidad sino que es una noción histórica, móvil e inestable</w:t>
      </w:r>
      <w:r>
        <w:t xml:space="preserve"> (Laura Fernández Cordero: 2018).</w:t>
      </w:r>
    </w:p>
    <w:p w:rsidR="00DD38F1" w:rsidRDefault="00DD38F1" w:rsidP="00DD38F1">
      <w:pPr>
        <w:pStyle w:val="Prrafodelista"/>
        <w:jc w:val="both"/>
      </w:pPr>
      <w:r>
        <w:t xml:space="preserve">Dentro de las distintas corrientes feministas existen planteos radicales antiesencialistas y desnaturalizantes dispuestos a impugnar la misma noción de género. Promueven una alerta epistemológica contra las construcciones de sujetos basadas en criterios </w:t>
      </w:r>
      <w:proofErr w:type="spellStart"/>
      <w:r>
        <w:t>identitarios</w:t>
      </w:r>
      <w:proofErr w:type="spellEnd"/>
      <w:r>
        <w:t xml:space="preserve"> </w:t>
      </w:r>
      <w:proofErr w:type="spellStart"/>
      <w:r>
        <w:t>universalizantes</w:t>
      </w:r>
      <w:proofErr w:type="spellEnd"/>
      <w:r>
        <w:t xml:space="preserve"> y excluyentes.</w:t>
      </w:r>
      <w:r w:rsidR="0095509C">
        <w:t xml:space="preserve"> Subrayan, asimismo, el carácter </w:t>
      </w:r>
      <w:r w:rsidR="0095509C">
        <w:rPr>
          <w:i/>
        </w:rPr>
        <w:t>representacional</w:t>
      </w:r>
      <w:r w:rsidR="0095509C">
        <w:t xml:space="preserve"> de las identidades que se entrelazan con todo un aparato discursivo de significación y valor modelado culturalmente.</w:t>
      </w:r>
      <w:r>
        <w:t xml:space="preserve"> Pero, independientemente de estas posiciones más extremas, existe un cierto consenso en lo que se refiere a la necesidad de comprender el género como un complejo de interrelaciones con otros sistemas de identificación y jerarquía. La división entre sexo y género es todavía central y se asume como punto de partida para entender al último como una construcción social que, en contextos específicos, demarca la diferencia sexual biológica.</w:t>
      </w:r>
    </w:p>
    <w:p w:rsidR="00A72AD4" w:rsidRDefault="00A72AD4" w:rsidP="00DD38F1">
      <w:pPr>
        <w:pStyle w:val="Prrafodelista"/>
        <w:jc w:val="both"/>
      </w:pPr>
    </w:p>
    <w:p w:rsidR="00A72AD4" w:rsidRDefault="00A72AD4" w:rsidP="00A72AD4">
      <w:pPr>
        <w:pStyle w:val="Prrafodelista"/>
        <w:numPr>
          <w:ilvl w:val="0"/>
          <w:numId w:val="12"/>
        </w:numPr>
        <w:jc w:val="both"/>
      </w:pPr>
      <w:r>
        <w:rPr>
          <w:i/>
        </w:rPr>
        <w:t>El género es un ordenamiento de práctica social</w:t>
      </w:r>
      <w:r>
        <w:rPr>
          <w:rStyle w:val="Refdenotaalpie"/>
          <w:i/>
        </w:rPr>
        <w:footnoteReference w:id="15"/>
      </w:r>
      <w:r>
        <w:rPr>
          <w:i/>
        </w:rPr>
        <w:t>.</w:t>
      </w:r>
      <w:r w:rsidRPr="00A72AD4">
        <w:rPr>
          <w:i/>
        </w:rPr>
        <w:t xml:space="preserve"> Las relaciones de género constituyen un sistema de prácticas y representaciones que generan profundos efectos en la experiencia corporal, personalidad y cultura</w:t>
      </w:r>
      <w:r>
        <w:rPr>
          <w:i/>
        </w:rPr>
        <w:t xml:space="preserve">. </w:t>
      </w:r>
      <w:r>
        <w:t xml:space="preserve"> Existe como un proceso histórico que involucra el cuerpo y no un conjunto fijo de determinaciones. El género existe porque la biología no determina lo social (</w:t>
      </w:r>
      <w:proofErr w:type="spellStart"/>
      <w:r>
        <w:t>Conell</w:t>
      </w:r>
      <w:proofErr w:type="spellEnd"/>
      <w:r>
        <w:t>: 1983: 6)</w:t>
      </w:r>
      <w:r>
        <w:rPr>
          <w:i/>
        </w:rPr>
        <w:t>.</w:t>
      </w:r>
      <w:r>
        <w:t xml:space="preserve"> Ser mujer o varón es ser interpelado por estereotipos o ideas ancladas en instituciones que seleccionan cualidades, pensamientos y comportamientos femeninos y masculinos. </w:t>
      </w:r>
    </w:p>
    <w:p w:rsidR="00DD38F1" w:rsidRPr="00DD38F1" w:rsidRDefault="00DD38F1" w:rsidP="00DD38F1">
      <w:pPr>
        <w:pStyle w:val="Prrafodelista"/>
        <w:jc w:val="both"/>
      </w:pPr>
    </w:p>
    <w:p w:rsidR="006C2343" w:rsidRDefault="006C2343" w:rsidP="006C2343">
      <w:pPr>
        <w:pStyle w:val="Prrafodelista"/>
        <w:numPr>
          <w:ilvl w:val="0"/>
          <w:numId w:val="13"/>
        </w:numPr>
        <w:jc w:val="both"/>
      </w:pPr>
      <w:r w:rsidRPr="00DD38F1">
        <w:rPr>
          <w:i/>
        </w:rPr>
        <w:t>Constituye una perspectiva, una mirada particular de la sociedad; con un especial filo crítico</w:t>
      </w:r>
      <w:r w:rsidR="00FA27D4">
        <w:rPr>
          <w:i/>
        </w:rPr>
        <w:t>.</w:t>
      </w:r>
      <w:r>
        <w:t xml:space="preserve"> </w:t>
      </w:r>
      <w:r w:rsidR="00FA27D4">
        <w:t xml:space="preserve">“Las relaciones de género son, a pesar de su tipificación como ‘tema particular’ </w:t>
      </w:r>
      <w:r w:rsidR="00FA27D4">
        <w:lastRenderedPageBreak/>
        <w:t>en el discurso sociológico y antropológico, una escena ubicua y omnipresente de toda vida social” (</w:t>
      </w:r>
      <w:proofErr w:type="spellStart"/>
      <w:r w:rsidR="00FA27D4">
        <w:t>Segato</w:t>
      </w:r>
      <w:proofErr w:type="spellEnd"/>
      <w:r w:rsidR="00FA27D4">
        <w:t>, 2014: 76).</w:t>
      </w:r>
    </w:p>
    <w:p w:rsidR="00DD38F1" w:rsidRDefault="00DD38F1" w:rsidP="00DD38F1">
      <w:pPr>
        <w:pStyle w:val="Prrafodelista"/>
        <w:jc w:val="both"/>
      </w:pPr>
    </w:p>
    <w:p w:rsidR="00221D02" w:rsidRPr="00ED1CBF" w:rsidRDefault="00FA27D4" w:rsidP="00ED1CBF">
      <w:pPr>
        <w:pStyle w:val="Prrafodelista"/>
        <w:numPr>
          <w:ilvl w:val="0"/>
          <w:numId w:val="13"/>
        </w:numPr>
        <w:jc w:val="both"/>
        <w:rPr>
          <w:i/>
        </w:rPr>
      </w:pPr>
      <w:r w:rsidRPr="00221D02">
        <w:rPr>
          <w:i/>
        </w:rPr>
        <w:t>En este sentido, el género es mucho más que una ideología, constituye en palabras de  la feminista chilena Nelly Richard un “operador estratégico”, una herramienta de intervención política en múltiples espacios sociales.</w:t>
      </w:r>
    </w:p>
    <w:p w:rsidR="00221D02" w:rsidRPr="00221D02" w:rsidRDefault="00221D02" w:rsidP="00221D02">
      <w:pPr>
        <w:pStyle w:val="Prrafodelista"/>
        <w:jc w:val="both"/>
        <w:rPr>
          <w:i/>
        </w:rPr>
      </w:pPr>
    </w:p>
    <w:p w:rsidR="006A6DAB" w:rsidRDefault="004F2CC7" w:rsidP="006C2343">
      <w:pPr>
        <w:pStyle w:val="Prrafodelista"/>
        <w:numPr>
          <w:ilvl w:val="0"/>
          <w:numId w:val="12"/>
        </w:numPr>
        <w:jc w:val="both"/>
      </w:pPr>
      <w:r w:rsidRPr="00221D02">
        <w:rPr>
          <w:i/>
        </w:rPr>
        <w:t xml:space="preserve">Hoy busca superarse el posicionamiento dicotómico, jerarquizado y </w:t>
      </w:r>
      <w:proofErr w:type="spellStart"/>
      <w:r w:rsidRPr="00221D02">
        <w:rPr>
          <w:i/>
        </w:rPr>
        <w:t>sexualizado</w:t>
      </w:r>
      <w:proofErr w:type="spellEnd"/>
      <w:r w:rsidRPr="00221D02">
        <w:rPr>
          <w:i/>
        </w:rPr>
        <w:t xml:space="preserve"> en términos opuestos de cultura (como paradigma de lo humano y masculino) y naturaleza (como lugar de la subordinación femenina en función de sus roles “naturales”).</w:t>
      </w:r>
      <w:r>
        <w:t xml:space="preserve"> Dicho esquema binario desmorona la autoridad, el valor y el prestigio de las mujeres, limitando su esquema de acción (</w:t>
      </w:r>
      <w:proofErr w:type="spellStart"/>
      <w:r>
        <w:t>Segato</w:t>
      </w:r>
      <w:proofErr w:type="spellEnd"/>
      <w:r>
        <w:t>: 2014).</w:t>
      </w:r>
    </w:p>
    <w:p w:rsidR="00221D02" w:rsidRDefault="00221D02" w:rsidP="00221D02">
      <w:pPr>
        <w:pStyle w:val="Prrafodelista"/>
        <w:jc w:val="both"/>
      </w:pPr>
    </w:p>
    <w:p w:rsidR="006C2343" w:rsidRDefault="0006641B" w:rsidP="0006641B">
      <w:pPr>
        <w:pStyle w:val="Prrafodelista"/>
        <w:numPr>
          <w:ilvl w:val="0"/>
          <w:numId w:val="12"/>
        </w:numPr>
        <w:jc w:val="both"/>
      </w:pPr>
      <w:r>
        <w:t xml:space="preserve">Al poner de relieve la historicidad y la dimensión política de la categoría “género”, se parte de la premisa de que </w:t>
      </w:r>
      <w:r w:rsidRPr="00221D02">
        <w:rPr>
          <w:i/>
        </w:rPr>
        <w:t>la identidad de género no se construye aislada de otras categorías sociales como la raza/etnia o la clase socioeconómica y es calificada por la edad, la orientación sexual, la nacionalidad, etc.</w:t>
      </w:r>
      <w:r>
        <w:t xml:space="preserve"> (Facio: 2005). Se habla de </w:t>
      </w:r>
      <w:proofErr w:type="spellStart"/>
      <w:r>
        <w:rPr>
          <w:i/>
        </w:rPr>
        <w:t>interseccionalidad</w:t>
      </w:r>
      <w:proofErr w:type="spellEnd"/>
      <w:r>
        <w:rPr>
          <w:i/>
        </w:rPr>
        <w:t xml:space="preserve">: </w:t>
      </w:r>
      <w:r>
        <w:t>las relaciones de poder se entrecruzan</w:t>
      </w:r>
      <w:r w:rsidR="00A72AD4">
        <w:t xml:space="preserve"> jerárquicamente</w:t>
      </w:r>
      <w:r>
        <w:t xml:space="preserve"> en los cuerpos y la sociedad no construye a todas las mujeres idénticamente subordinadas ni a todos los hombres con los mismos privilegios. Aunque no debemos olvidar que, en su universalidad, las mujeres son subordinadas a los hombres.</w:t>
      </w:r>
    </w:p>
    <w:p w:rsidR="000F24E4" w:rsidRDefault="000F24E4" w:rsidP="000F24E4">
      <w:pPr>
        <w:pStyle w:val="Prrafodelista"/>
      </w:pPr>
    </w:p>
    <w:p w:rsidR="009444F2" w:rsidRDefault="005B7C73" w:rsidP="005B7C73">
      <w:pPr>
        <w:pStyle w:val="Prrafodelista"/>
        <w:numPr>
          <w:ilvl w:val="0"/>
          <w:numId w:val="12"/>
        </w:numPr>
        <w:jc w:val="both"/>
      </w:pPr>
      <w:r w:rsidRPr="00A06A6F">
        <w:rPr>
          <w:i/>
        </w:rPr>
        <w:t>La subordinación femenina debe ser analizada en el contexto argentino y latinoamericano actual</w:t>
      </w:r>
      <w:r>
        <w:t>.</w:t>
      </w:r>
      <w:r w:rsidR="00554F6D">
        <w:t xml:space="preserve"> A modo de ejemplo, en América Latina y en el Cono Sur, la división entre lo público y lo privado ha sido objeto de complejas </w:t>
      </w:r>
      <w:proofErr w:type="spellStart"/>
      <w:r w:rsidR="00554F6D">
        <w:t>resemantizaciones</w:t>
      </w:r>
      <w:proofErr w:type="spellEnd"/>
      <w:r w:rsidR="00554F6D">
        <w:t xml:space="preserve"> con motivo del protagonismo de las mujeres en históricas protestas callejeras. Las mujeres en estratégicas ocasiones han salido a la calle y tiñeron de ambigüedad el lenguaje masculino de las reivindicaciones ciudadanas al mezclar ese lenguaje con una </w:t>
      </w:r>
      <w:r w:rsidR="00554F6D">
        <w:rPr>
          <w:i/>
        </w:rPr>
        <w:t>simbología materna</w:t>
      </w:r>
      <w:r w:rsidR="00554F6D">
        <w:t xml:space="preserve">, como fue el caso de las Madres de Plaza de Mayo en la Argentina, o bien </w:t>
      </w:r>
      <w:r w:rsidR="00554F6D">
        <w:rPr>
          <w:i/>
        </w:rPr>
        <w:t>doméstica</w:t>
      </w:r>
      <w:r w:rsidR="009444F2">
        <w:t xml:space="preserve"> como los cacerolazos en nuestro país o en el Chile de la Unidad Popular (Nelly Richard, 2002).</w:t>
      </w:r>
    </w:p>
    <w:p w:rsidR="009444F2" w:rsidRDefault="009444F2" w:rsidP="009444F2">
      <w:pPr>
        <w:pStyle w:val="Prrafodelista"/>
      </w:pPr>
    </w:p>
    <w:p w:rsidR="00696526" w:rsidRDefault="005B7C73" w:rsidP="009444F2">
      <w:pPr>
        <w:pStyle w:val="Prrafodelista"/>
        <w:numPr>
          <w:ilvl w:val="0"/>
          <w:numId w:val="12"/>
        </w:numPr>
        <w:jc w:val="both"/>
      </w:pPr>
      <w:r w:rsidRPr="009444F2">
        <w:rPr>
          <w:i/>
        </w:rPr>
        <w:t>Existen problemas claramente percibidos como prioritarios en la agenda política de distintos colectivos de mujeres</w:t>
      </w:r>
      <w:r>
        <w:t>: ellos son la violencia de género en todas sus formas, el acceso a la salud reproductiva,  el acceso igualitario a la educación,</w:t>
      </w:r>
      <w:r w:rsidR="00772945">
        <w:t xml:space="preserve"> la falta de oportunidades de empleo y la inequidad salarial,</w:t>
      </w:r>
      <w:r>
        <w:t xml:space="preserve"> la lucha contra el “techo de cristal” que impide el ascenso de la mujer a cargos jerárquicos, </w:t>
      </w:r>
      <w:r w:rsidR="00772945">
        <w:t>y las dificultades para participar en diversos ámbitos como el poder político, el mundo científico y otras esferas de la vida pública. Para abordar estas cuestiones relevantes (y muchas otras como el reconocimiento de otredades sexo-genéricas) han surgido, desde la vuelta de la democracia, distintas organizaciones con el fin de visibilizar las demandas y obtener nuevas leyes dentro de una perspectiva política de sujetos de derecho.</w:t>
      </w:r>
      <w:r w:rsidR="00B547F4">
        <w:t xml:space="preserve"> Cada una de ellas posee una agenda propia como así también problemáticas compartidas con otros colectivos, que se instalan en los debates políticos, económicos y culturales de los distintos movimientos sociales. Esa articulación se observa tanto a nivel regional como nacional</w:t>
      </w:r>
      <w:r w:rsidR="00B547F4">
        <w:rPr>
          <w:rStyle w:val="Refdenotaalpie"/>
        </w:rPr>
        <w:footnoteReference w:id="16"/>
      </w:r>
      <w:r w:rsidR="002F09F4">
        <w:t>.</w:t>
      </w:r>
    </w:p>
    <w:p w:rsidR="000F24E4" w:rsidRDefault="000F24E4" w:rsidP="00C5259C">
      <w:pPr>
        <w:pStyle w:val="Prrafodelista"/>
        <w:jc w:val="both"/>
      </w:pPr>
    </w:p>
    <w:p w:rsidR="00221D02" w:rsidRDefault="00221D02" w:rsidP="000F24E4">
      <w:pPr>
        <w:jc w:val="both"/>
      </w:pPr>
    </w:p>
    <w:p w:rsidR="0029203F" w:rsidRDefault="0029203F" w:rsidP="000F24E4">
      <w:pPr>
        <w:jc w:val="both"/>
      </w:pPr>
    </w:p>
    <w:p w:rsidR="006C2343" w:rsidRDefault="006C2343" w:rsidP="006C2343"/>
    <w:p w:rsidR="00AB428A" w:rsidRDefault="00AB428A" w:rsidP="006E787F">
      <w:pPr>
        <w:pStyle w:val="Sinespaciado"/>
        <w:jc w:val="both"/>
      </w:pPr>
    </w:p>
    <w:p w:rsidR="00AB428A" w:rsidRDefault="00AB428A" w:rsidP="006E787F">
      <w:pPr>
        <w:pStyle w:val="Sinespaciado"/>
        <w:jc w:val="both"/>
      </w:pPr>
    </w:p>
    <w:p w:rsidR="006E787F" w:rsidRDefault="006E787F" w:rsidP="006E787F">
      <w:pPr>
        <w:pStyle w:val="Sinespaciado"/>
        <w:jc w:val="both"/>
      </w:pPr>
    </w:p>
    <w:p w:rsidR="009C1BAE" w:rsidRPr="007216EC" w:rsidRDefault="009C1BAE" w:rsidP="006E787F">
      <w:pPr>
        <w:pStyle w:val="Sinespaciado"/>
        <w:jc w:val="both"/>
      </w:pPr>
    </w:p>
    <w:p w:rsidR="001550F5" w:rsidRDefault="001550F5" w:rsidP="0000340E">
      <w:pPr>
        <w:pStyle w:val="Sinespaciado"/>
        <w:jc w:val="both"/>
      </w:pPr>
    </w:p>
    <w:p w:rsidR="0000340E" w:rsidRDefault="0000340E" w:rsidP="0000340E">
      <w:pPr>
        <w:pStyle w:val="Sinespaciado"/>
        <w:jc w:val="both"/>
      </w:pPr>
    </w:p>
    <w:sectPr w:rsidR="0000340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1B7" w:rsidRDefault="007821B7" w:rsidP="00745938">
      <w:pPr>
        <w:spacing w:after="0"/>
      </w:pPr>
      <w:r>
        <w:separator/>
      </w:r>
    </w:p>
  </w:endnote>
  <w:endnote w:type="continuationSeparator" w:id="0">
    <w:p w:rsidR="007821B7" w:rsidRDefault="007821B7" w:rsidP="007459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1B7" w:rsidRDefault="007821B7" w:rsidP="00745938">
      <w:pPr>
        <w:spacing w:after="0"/>
      </w:pPr>
      <w:r>
        <w:separator/>
      </w:r>
    </w:p>
  </w:footnote>
  <w:footnote w:type="continuationSeparator" w:id="0">
    <w:p w:rsidR="007821B7" w:rsidRDefault="007821B7" w:rsidP="00745938">
      <w:pPr>
        <w:spacing w:after="0"/>
      </w:pPr>
      <w:r>
        <w:continuationSeparator/>
      </w:r>
    </w:p>
  </w:footnote>
  <w:footnote w:id="1">
    <w:p w:rsidR="00640788" w:rsidRPr="00640788" w:rsidRDefault="00640788" w:rsidP="00640788">
      <w:pPr>
        <w:pStyle w:val="Textonotapie"/>
        <w:jc w:val="both"/>
      </w:pPr>
      <w:r>
        <w:rPr>
          <w:rStyle w:val="Refdenotaalpie"/>
        </w:rPr>
        <w:footnoteRef/>
      </w:r>
      <w:r>
        <w:t xml:space="preserve"> Definiremos “núcleos problemáticos” como “campos de debates, posicionamientos y discusiones que tensionan representaciones y prácticas cotidianas de los sujetos; que remiten a estrategias de abordaje y resolución muchas veces contradictorias y que requieren del intercambio crítico y la participación colectiva para elaborar dichas respuestas potenciales.”</w:t>
      </w:r>
    </w:p>
  </w:footnote>
  <w:footnote w:id="2">
    <w:p w:rsidR="00451816" w:rsidRPr="00451816" w:rsidRDefault="00451816" w:rsidP="0057055E">
      <w:pPr>
        <w:pStyle w:val="Textonotapie"/>
        <w:jc w:val="both"/>
      </w:pPr>
      <w:r>
        <w:rPr>
          <w:rStyle w:val="Refdenotaalpie"/>
        </w:rPr>
        <w:footnoteRef/>
      </w:r>
      <w:r>
        <w:t xml:space="preserve"> El concepto de “apropiación” fue acuñado por </w:t>
      </w:r>
      <w:proofErr w:type="spellStart"/>
      <w:r>
        <w:t>Agnes</w:t>
      </w:r>
      <w:proofErr w:type="spellEnd"/>
      <w:r>
        <w:t xml:space="preserve"> </w:t>
      </w:r>
      <w:proofErr w:type="spellStart"/>
      <w:r>
        <w:t>Heller</w:t>
      </w:r>
      <w:proofErr w:type="spellEnd"/>
      <w:r>
        <w:t xml:space="preserve"> en su libro </w:t>
      </w:r>
      <w:r>
        <w:rPr>
          <w:i/>
        </w:rPr>
        <w:t>Sociología de la Vida Cotidiana</w:t>
      </w:r>
      <w:r>
        <w:t>, publicado en 1977.</w:t>
      </w:r>
    </w:p>
  </w:footnote>
  <w:footnote w:id="3">
    <w:p w:rsidR="00CA2241" w:rsidRPr="0057055E" w:rsidRDefault="00CA2241" w:rsidP="0057055E">
      <w:pPr>
        <w:pStyle w:val="Textonotapie"/>
        <w:jc w:val="both"/>
      </w:pPr>
      <w:r>
        <w:rPr>
          <w:rStyle w:val="Refdenotaalpie"/>
        </w:rPr>
        <w:footnoteRef/>
      </w:r>
      <w:r>
        <w:t xml:space="preserve"> A modo de ejemplo acerca de la importancia de la red social y el entorno comunitario presentaremos más adelante un ejemplo trabajado por Ana </w:t>
      </w:r>
      <w:proofErr w:type="spellStart"/>
      <w:r>
        <w:t>Padawer</w:t>
      </w:r>
      <w:proofErr w:type="spellEnd"/>
      <w:r w:rsidR="0057055E">
        <w:t xml:space="preserve"> (2010) sobre el trabajo de los niños en contextos rurales y la importancia de considerar a la infancia como </w:t>
      </w:r>
      <w:r w:rsidR="0057055E">
        <w:rPr>
          <w:i/>
        </w:rPr>
        <w:t>categoría social.</w:t>
      </w:r>
    </w:p>
  </w:footnote>
  <w:footnote w:id="4">
    <w:p w:rsidR="00381C98" w:rsidRPr="00381C98" w:rsidRDefault="00381C98" w:rsidP="0057055E">
      <w:pPr>
        <w:pStyle w:val="Textonotapie"/>
        <w:jc w:val="both"/>
      </w:pPr>
      <w:r>
        <w:rPr>
          <w:rStyle w:val="Refdenotaalpie"/>
        </w:rPr>
        <w:footnoteRef/>
      </w:r>
      <w:r>
        <w:t xml:space="preserve"> </w:t>
      </w:r>
      <w:r w:rsidR="00656821">
        <w:t>Pensamos puntualmente en el concepto de rol elaborado por el interaccionismo simbólico (</w:t>
      </w:r>
      <w:proofErr w:type="spellStart"/>
      <w:r w:rsidR="00656821">
        <w:t>Goffman</w:t>
      </w:r>
      <w:proofErr w:type="spellEnd"/>
      <w:r w:rsidR="00656821">
        <w:t>, 1988).</w:t>
      </w:r>
    </w:p>
  </w:footnote>
  <w:footnote w:id="5">
    <w:p w:rsidR="00C24A88" w:rsidRDefault="00C24A88" w:rsidP="00C24A88">
      <w:pPr>
        <w:pStyle w:val="Textonotapie"/>
        <w:jc w:val="both"/>
      </w:pPr>
      <w:r>
        <w:rPr>
          <w:rStyle w:val="Refdenotaalpie"/>
        </w:rPr>
        <w:footnoteRef/>
      </w:r>
      <w:r>
        <w:t xml:space="preserve"> Aquí podemos citar las obras de autores como Boas, Ruth </w:t>
      </w:r>
      <w:proofErr w:type="spellStart"/>
      <w:r>
        <w:t>Benedict</w:t>
      </w:r>
      <w:proofErr w:type="spellEnd"/>
      <w:r>
        <w:t xml:space="preserve"> o Margaret Mead, de las décadas que van de 1910 a 1940; incluyendo la línea teórica de la escuela de cultura y personalidad.</w:t>
      </w:r>
    </w:p>
    <w:p w:rsidR="00C24A88" w:rsidRPr="00C24A88" w:rsidRDefault="00C24A88" w:rsidP="00C24A88">
      <w:pPr>
        <w:pStyle w:val="Textonotapie"/>
        <w:jc w:val="both"/>
      </w:pPr>
    </w:p>
  </w:footnote>
  <w:footnote w:id="6">
    <w:p w:rsidR="005933FE" w:rsidRDefault="005933FE" w:rsidP="00711909">
      <w:pPr>
        <w:pStyle w:val="Textonotapie"/>
        <w:jc w:val="both"/>
        <w:rPr>
          <w:lang w:val="es-AR"/>
        </w:rPr>
      </w:pPr>
      <w:r>
        <w:rPr>
          <w:rStyle w:val="Refdenotaalpie"/>
        </w:rPr>
        <w:footnoteRef/>
      </w:r>
      <w:r>
        <w:t xml:space="preserve"> </w:t>
      </w:r>
      <w:r>
        <w:rPr>
          <w:lang w:val="es-AR"/>
        </w:rPr>
        <w:t>Incluso desde el punto de vista didáctico</w:t>
      </w:r>
      <w:r w:rsidR="00711909">
        <w:rPr>
          <w:lang w:val="es-AR"/>
        </w:rPr>
        <w:t>, conceptos tan complejos como el de cultura</w:t>
      </w:r>
      <w:r w:rsidR="00A652E2">
        <w:rPr>
          <w:lang w:val="es-AR"/>
        </w:rPr>
        <w:t xml:space="preserve"> (y puede servir para muchos otros como el de estado, democracia, </w:t>
      </w:r>
      <w:r w:rsidR="00DB61B6">
        <w:rPr>
          <w:lang w:val="es-AR"/>
        </w:rPr>
        <w:t xml:space="preserve">identidad, </w:t>
      </w:r>
      <w:r w:rsidR="00A652E2">
        <w:rPr>
          <w:lang w:val="es-AR"/>
        </w:rPr>
        <w:t>etc.)</w:t>
      </w:r>
      <w:r w:rsidR="00711909">
        <w:rPr>
          <w:lang w:val="es-AR"/>
        </w:rPr>
        <w:t xml:space="preserve"> no deben ser abordados a partir de definiciones, sino como campo de</w:t>
      </w:r>
      <w:r w:rsidR="00A652E2">
        <w:rPr>
          <w:lang w:val="es-AR"/>
        </w:rPr>
        <w:t xml:space="preserve"> discusión y</w:t>
      </w:r>
      <w:r w:rsidR="00711909">
        <w:rPr>
          <w:lang w:val="es-AR"/>
        </w:rPr>
        <w:t xml:space="preserve"> problematización. En esta concepción no se busca transponer el concepto en sí, “sino el proceso de análisis crítico, la mirada </w:t>
      </w:r>
      <w:proofErr w:type="spellStart"/>
      <w:r w:rsidR="00711909">
        <w:rPr>
          <w:lang w:val="es-AR"/>
        </w:rPr>
        <w:t>problematizadora</w:t>
      </w:r>
      <w:proofErr w:type="spellEnd"/>
      <w:r w:rsidR="00711909">
        <w:rPr>
          <w:lang w:val="es-AR"/>
        </w:rPr>
        <w:t>” (</w:t>
      </w:r>
      <w:proofErr w:type="spellStart"/>
      <w:r w:rsidR="00711909">
        <w:rPr>
          <w:lang w:val="es-AR"/>
        </w:rPr>
        <w:t>Cerletti</w:t>
      </w:r>
      <w:proofErr w:type="spellEnd"/>
      <w:r w:rsidR="00711909">
        <w:rPr>
          <w:lang w:val="es-AR"/>
        </w:rPr>
        <w:t xml:space="preserve"> – </w:t>
      </w:r>
      <w:proofErr w:type="spellStart"/>
      <w:r w:rsidR="00711909">
        <w:rPr>
          <w:lang w:val="es-AR"/>
        </w:rPr>
        <w:t>Cottet</w:t>
      </w:r>
      <w:proofErr w:type="spellEnd"/>
      <w:r w:rsidR="00711909">
        <w:rPr>
          <w:lang w:val="es-AR"/>
        </w:rPr>
        <w:t>, 2008). Son los debates en torno a “la cultura” los que deben servir como herramienta de conocimiento.</w:t>
      </w:r>
    </w:p>
    <w:p w:rsidR="0057217D" w:rsidRPr="005933FE" w:rsidRDefault="0057217D" w:rsidP="00711909">
      <w:pPr>
        <w:pStyle w:val="Textonotapie"/>
        <w:jc w:val="both"/>
        <w:rPr>
          <w:lang w:val="es-AR"/>
        </w:rPr>
      </w:pPr>
    </w:p>
  </w:footnote>
  <w:footnote w:id="7">
    <w:p w:rsidR="0057217D" w:rsidRPr="0057217D" w:rsidRDefault="0057217D" w:rsidP="0057217D">
      <w:pPr>
        <w:pStyle w:val="Textonotapie"/>
        <w:jc w:val="both"/>
        <w:rPr>
          <w:lang w:val="es-AR"/>
        </w:rPr>
      </w:pPr>
      <w:r>
        <w:rPr>
          <w:rStyle w:val="Refdenotaalpie"/>
        </w:rPr>
        <w:footnoteRef/>
      </w:r>
      <w:r>
        <w:t xml:space="preserve"> </w:t>
      </w:r>
      <w:r>
        <w:rPr>
          <w:lang w:val="es-AR"/>
        </w:rPr>
        <w:t>El concepto de etnocentrismo y su relación con el prejuicio, la discriminación y el racismo serán abordados puntualmente en el apartado posterior.</w:t>
      </w:r>
    </w:p>
  </w:footnote>
  <w:footnote w:id="8">
    <w:p w:rsidR="000121E6" w:rsidRPr="000121E6" w:rsidRDefault="000121E6" w:rsidP="00A57997">
      <w:pPr>
        <w:pStyle w:val="Textonotapie"/>
        <w:jc w:val="both"/>
      </w:pPr>
      <w:r>
        <w:rPr>
          <w:rStyle w:val="Refdenotaalpie"/>
        </w:rPr>
        <w:footnoteRef/>
      </w:r>
      <w:r>
        <w:t xml:space="preserve"> Al final del tema presentamos un ejemplo en torno al debate</w:t>
      </w:r>
      <w:r w:rsidR="00A57997">
        <w:t xml:space="preserve"> sobre la Ley de Matrimonio Igualitario (2011) que creemos es reveladora de la función del Estado como árbitro (no el único, pero si el más importante) que legitima un campo de derechos en una situación reivindicatoria de determinados grupos.</w:t>
      </w:r>
    </w:p>
  </w:footnote>
  <w:footnote w:id="9">
    <w:p w:rsidR="005B2F4F" w:rsidRPr="005B2F4F" w:rsidRDefault="005B2F4F" w:rsidP="005B2F4F">
      <w:pPr>
        <w:pStyle w:val="Textonotapie"/>
        <w:jc w:val="both"/>
      </w:pPr>
      <w:r>
        <w:rPr>
          <w:rStyle w:val="Refdenotaalpie"/>
        </w:rPr>
        <w:footnoteRef/>
      </w:r>
      <w:r>
        <w:t xml:space="preserve"> La </w:t>
      </w:r>
      <w:proofErr w:type="spellStart"/>
      <w:r>
        <w:t>microclase</w:t>
      </w:r>
      <w:proofErr w:type="spellEnd"/>
      <w:r>
        <w:t xml:space="preserve"> proviene del mundo anglosajón y es ampliamente utilizada en contextos de formación docente para anticipar la práctica en el aula, definiendo tiempos, recursos y estrategias de transposición didáctica. Se trata de un dispositivo que pone en juego procesos de </w:t>
      </w:r>
      <w:proofErr w:type="spellStart"/>
      <w:r>
        <w:t>metacognición</w:t>
      </w:r>
      <w:proofErr w:type="spellEnd"/>
      <w:r>
        <w:t>, tendientes a regular y evaluar el propio proceso de aprendizaje.</w:t>
      </w:r>
    </w:p>
  </w:footnote>
  <w:footnote w:id="10">
    <w:p w:rsidR="00575540" w:rsidRPr="00575540" w:rsidRDefault="00575540" w:rsidP="00575540">
      <w:pPr>
        <w:pStyle w:val="Textonotapie"/>
        <w:jc w:val="both"/>
        <w:rPr>
          <w:lang w:val="es-MX"/>
        </w:rPr>
      </w:pPr>
      <w:r>
        <w:rPr>
          <w:rStyle w:val="Refdenotaalpie"/>
        </w:rPr>
        <w:footnoteRef/>
      </w:r>
      <w:r>
        <w:t xml:space="preserve"> </w:t>
      </w:r>
      <w:r>
        <w:rPr>
          <w:lang w:val="es-MX"/>
        </w:rPr>
        <w:t xml:space="preserve">Un historiador prominente como Eric </w:t>
      </w:r>
      <w:proofErr w:type="spellStart"/>
      <w:r>
        <w:rPr>
          <w:lang w:val="es-MX"/>
        </w:rPr>
        <w:t>Hobsbawm</w:t>
      </w:r>
      <w:proofErr w:type="spellEnd"/>
      <w:r>
        <w:rPr>
          <w:lang w:val="es-MX"/>
        </w:rPr>
        <w:t xml:space="preserve"> (1917 – 2012) creía que el fenómeno del nacionalismo tendía a ser cada vez menos prominente, o al menos esa era la tendencia que él percibía.</w:t>
      </w:r>
      <w:r w:rsidR="005A08E8">
        <w:rPr>
          <w:lang w:val="es-MX"/>
        </w:rPr>
        <w:t xml:space="preserve"> Incluso llegó a afirmar que la historia contemporánea ya no se podía circunscribir dentro de los límites de las “naciones” y los “estados-nación”. Los</w:t>
      </w:r>
      <w:r>
        <w:rPr>
          <w:lang w:val="es-MX"/>
        </w:rPr>
        <w:t xml:space="preserve"> recientes acontecimientos europeos de reemergencia de movimientos nacionalistas parecieran desmentirlo. Evidentemente la discusión sigue abierta entre los investigadores.</w:t>
      </w:r>
    </w:p>
  </w:footnote>
  <w:footnote w:id="11">
    <w:p w:rsidR="006E787F" w:rsidRPr="006E787F" w:rsidRDefault="006E787F" w:rsidP="00614C11">
      <w:pPr>
        <w:pStyle w:val="Textonotapie"/>
        <w:jc w:val="both"/>
        <w:rPr>
          <w:lang w:val="es-AR"/>
        </w:rPr>
      </w:pPr>
      <w:r>
        <w:rPr>
          <w:rStyle w:val="Refdenotaalpie"/>
        </w:rPr>
        <w:footnoteRef/>
      </w:r>
      <w:r>
        <w:t xml:space="preserve"> </w:t>
      </w:r>
      <w:r>
        <w:rPr>
          <w:lang w:val="es-AR"/>
        </w:rPr>
        <w:t xml:space="preserve">Tal como describe </w:t>
      </w:r>
      <w:proofErr w:type="spellStart"/>
      <w:r>
        <w:rPr>
          <w:lang w:val="es-AR"/>
        </w:rPr>
        <w:t>S</w:t>
      </w:r>
      <w:r w:rsidR="00C858AE">
        <w:rPr>
          <w:lang w:val="es-AR"/>
        </w:rPr>
        <w:t>usan</w:t>
      </w:r>
      <w:proofErr w:type="spellEnd"/>
      <w:r w:rsidR="00C858AE">
        <w:rPr>
          <w:lang w:val="es-AR"/>
        </w:rPr>
        <w:t xml:space="preserve"> Wright en su artículo “La politización de la cultura”. </w:t>
      </w:r>
      <w:proofErr w:type="spellStart"/>
      <w:r w:rsidR="00C858AE">
        <w:rPr>
          <w:lang w:val="es-AR"/>
        </w:rPr>
        <w:t>Anthropology</w:t>
      </w:r>
      <w:proofErr w:type="spellEnd"/>
      <w:r w:rsidR="00C858AE">
        <w:rPr>
          <w:lang w:val="es-AR"/>
        </w:rPr>
        <w:t xml:space="preserve"> </w:t>
      </w:r>
      <w:proofErr w:type="spellStart"/>
      <w:r w:rsidR="00C858AE">
        <w:rPr>
          <w:lang w:val="es-AR"/>
        </w:rPr>
        <w:t>Today</w:t>
      </w:r>
      <w:proofErr w:type="spellEnd"/>
      <w:r w:rsidR="00C858AE">
        <w:rPr>
          <w:lang w:val="es-AR"/>
        </w:rPr>
        <w:t xml:space="preserve"> Vol. 14, No 1, Febrero de 1998.</w:t>
      </w:r>
    </w:p>
  </w:footnote>
  <w:footnote w:id="12">
    <w:p w:rsidR="00121D32" w:rsidRPr="00121D32" w:rsidRDefault="00121D32" w:rsidP="00D43D09">
      <w:pPr>
        <w:pStyle w:val="Textonotapie"/>
        <w:jc w:val="both"/>
        <w:rPr>
          <w:lang w:val="es-AR"/>
        </w:rPr>
      </w:pPr>
      <w:r>
        <w:rPr>
          <w:rStyle w:val="Refdenotaalpie"/>
        </w:rPr>
        <w:footnoteRef/>
      </w:r>
      <w:r>
        <w:t xml:space="preserve"> </w:t>
      </w:r>
      <w:r>
        <w:rPr>
          <w:lang w:val="es-AR"/>
        </w:rPr>
        <w:t>Por lo tanto hablamos de un profundo sentido cultural de toda construcción normativa.</w:t>
      </w:r>
      <w:r w:rsidR="00D43D09">
        <w:rPr>
          <w:lang w:val="es-AR"/>
        </w:rPr>
        <w:t xml:space="preserve"> También deberíamos afirmar que toda ética es situacional.</w:t>
      </w:r>
    </w:p>
  </w:footnote>
  <w:footnote w:id="13">
    <w:p w:rsidR="006F3358" w:rsidRPr="006F3358" w:rsidRDefault="006F3358" w:rsidP="006F3358">
      <w:pPr>
        <w:pStyle w:val="Textonotapie"/>
        <w:jc w:val="both"/>
        <w:rPr>
          <w:lang w:val="es-MX"/>
        </w:rPr>
      </w:pPr>
      <w:r>
        <w:rPr>
          <w:rStyle w:val="Refdenotaalpie"/>
        </w:rPr>
        <w:footnoteRef/>
      </w:r>
      <w:r>
        <w:t xml:space="preserve"> </w:t>
      </w:r>
      <w:r>
        <w:rPr>
          <w:lang w:val="es-MX"/>
        </w:rPr>
        <w:t xml:space="preserve">Esta idea en particular pertenece al inglés Richard </w:t>
      </w:r>
      <w:proofErr w:type="spellStart"/>
      <w:r>
        <w:rPr>
          <w:lang w:val="es-MX"/>
        </w:rPr>
        <w:t>Dawkins</w:t>
      </w:r>
      <w:proofErr w:type="spellEnd"/>
      <w:r>
        <w:rPr>
          <w:lang w:val="es-MX"/>
        </w:rPr>
        <w:t xml:space="preserve"> y fue desarrollada en su libro “El gen egoísta”, publicado en el año 1979.</w:t>
      </w:r>
    </w:p>
  </w:footnote>
  <w:footnote w:id="14">
    <w:p w:rsidR="004F1E20" w:rsidRPr="004F1E20" w:rsidRDefault="004F1E20" w:rsidP="004F1E20">
      <w:pPr>
        <w:pStyle w:val="Textonotapie"/>
        <w:jc w:val="both"/>
        <w:rPr>
          <w:lang w:val="es-MX"/>
        </w:rPr>
      </w:pPr>
      <w:r>
        <w:rPr>
          <w:rStyle w:val="Refdenotaalpie"/>
        </w:rPr>
        <w:footnoteRef/>
      </w:r>
      <w:r>
        <w:t xml:space="preserve"> </w:t>
      </w:r>
      <w:r>
        <w:rPr>
          <w:lang w:val="es-MX"/>
        </w:rPr>
        <w:t>Haciendo alusión a la curva de distribución normal utilizada en estadística, que adopta la forma de campana.</w:t>
      </w:r>
    </w:p>
  </w:footnote>
  <w:footnote w:id="15">
    <w:p w:rsidR="00A72AD4" w:rsidRPr="00A72AD4" w:rsidRDefault="00A72AD4" w:rsidP="000F24E4">
      <w:pPr>
        <w:pStyle w:val="Textonotapie"/>
        <w:jc w:val="both"/>
        <w:rPr>
          <w:lang w:val="es-MX"/>
        </w:rPr>
      </w:pPr>
      <w:r>
        <w:rPr>
          <w:rStyle w:val="Refdenotaalpie"/>
        </w:rPr>
        <w:footnoteRef/>
      </w:r>
      <w:r>
        <w:t xml:space="preserve"> </w:t>
      </w:r>
      <w:r>
        <w:rPr>
          <w:lang w:val="es-MX"/>
        </w:rPr>
        <w:t>Judith Butler (1986) se refiere explícitamente a la noción de “</w:t>
      </w:r>
      <w:proofErr w:type="spellStart"/>
      <w:r>
        <w:rPr>
          <w:lang w:val="es-MX"/>
        </w:rPr>
        <w:t>performatividad</w:t>
      </w:r>
      <w:proofErr w:type="spellEnd"/>
      <w:r>
        <w:rPr>
          <w:lang w:val="es-MX"/>
        </w:rPr>
        <w:t xml:space="preserve"> de género”: Cada quién actúa, realiza su propio género en términos de “género </w:t>
      </w:r>
      <w:proofErr w:type="spellStart"/>
      <w:r>
        <w:rPr>
          <w:lang w:val="es-MX"/>
        </w:rPr>
        <w:t>autoasumido</w:t>
      </w:r>
      <w:proofErr w:type="spellEnd"/>
      <w:r>
        <w:rPr>
          <w:lang w:val="es-MX"/>
        </w:rPr>
        <w:t xml:space="preserve">” o “identidad de género </w:t>
      </w:r>
      <w:proofErr w:type="spellStart"/>
      <w:r>
        <w:rPr>
          <w:lang w:val="es-MX"/>
        </w:rPr>
        <w:t>autoasumida</w:t>
      </w:r>
      <w:proofErr w:type="spellEnd"/>
      <w:r>
        <w:rPr>
          <w:lang w:val="es-MX"/>
        </w:rPr>
        <w:t>”.</w:t>
      </w:r>
    </w:p>
  </w:footnote>
  <w:footnote w:id="16">
    <w:p w:rsidR="00B547F4" w:rsidRPr="00B547F4" w:rsidRDefault="00B547F4" w:rsidP="00B547F4">
      <w:pPr>
        <w:pStyle w:val="Textonotapie"/>
        <w:jc w:val="both"/>
        <w:rPr>
          <w:lang w:val="es-MX"/>
        </w:rPr>
      </w:pPr>
      <w:r>
        <w:rPr>
          <w:rStyle w:val="Refdenotaalpie"/>
        </w:rPr>
        <w:footnoteRef/>
      </w:r>
      <w:r>
        <w:t xml:space="preserve"> </w:t>
      </w:r>
      <w:r>
        <w:rPr>
          <w:lang w:val="es-MX"/>
        </w:rPr>
        <w:t>En nuestro país, desde la década del ochenta tienen lugar los “Encuentros Nacionales de Mujeres”, con una agenda cada vez más amplia y profunda. Estas instancias han construido nuevas sensibilidades y grandes cambios en las políticas públicas.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34EB"/>
    <w:multiLevelType w:val="hybridMultilevel"/>
    <w:tmpl w:val="CAAEFB1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6CB3FBC"/>
    <w:multiLevelType w:val="hybridMultilevel"/>
    <w:tmpl w:val="FC8AF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18D7A36"/>
    <w:multiLevelType w:val="hybridMultilevel"/>
    <w:tmpl w:val="56E8789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3A12C72"/>
    <w:multiLevelType w:val="hybridMultilevel"/>
    <w:tmpl w:val="A59E18A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140663AD"/>
    <w:multiLevelType w:val="hybridMultilevel"/>
    <w:tmpl w:val="53AEA20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14832983"/>
    <w:multiLevelType w:val="hybridMultilevel"/>
    <w:tmpl w:val="1C1224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9207448"/>
    <w:multiLevelType w:val="hybridMultilevel"/>
    <w:tmpl w:val="3B70952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98E5CDB"/>
    <w:multiLevelType w:val="hybridMultilevel"/>
    <w:tmpl w:val="23C806AE"/>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8" w15:restartNumberingAfterBreak="0">
    <w:nsid w:val="352B68A6"/>
    <w:multiLevelType w:val="hybridMultilevel"/>
    <w:tmpl w:val="0226AA86"/>
    <w:lvl w:ilvl="0" w:tplc="2C0A0001">
      <w:start w:val="1"/>
      <w:numFmt w:val="bullet"/>
      <w:lvlText w:val=""/>
      <w:lvlJc w:val="left"/>
      <w:pPr>
        <w:ind w:left="2844" w:hanging="360"/>
      </w:pPr>
      <w:rPr>
        <w:rFonts w:ascii="Symbol" w:hAnsi="Symbol" w:hint="default"/>
      </w:rPr>
    </w:lvl>
    <w:lvl w:ilvl="1" w:tplc="2C0A0003" w:tentative="1">
      <w:start w:val="1"/>
      <w:numFmt w:val="bullet"/>
      <w:lvlText w:val="o"/>
      <w:lvlJc w:val="left"/>
      <w:pPr>
        <w:ind w:left="3564" w:hanging="360"/>
      </w:pPr>
      <w:rPr>
        <w:rFonts w:ascii="Courier New" w:hAnsi="Courier New" w:cs="Courier New" w:hint="default"/>
      </w:rPr>
    </w:lvl>
    <w:lvl w:ilvl="2" w:tplc="2C0A0005" w:tentative="1">
      <w:start w:val="1"/>
      <w:numFmt w:val="bullet"/>
      <w:lvlText w:val=""/>
      <w:lvlJc w:val="left"/>
      <w:pPr>
        <w:ind w:left="4284" w:hanging="360"/>
      </w:pPr>
      <w:rPr>
        <w:rFonts w:ascii="Wingdings" w:hAnsi="Wingdings" w:hint="default"/>
      </w:rPr>
    </w:lvl>
    <w:lvl w:ilvl="3" w:tplc="2C0A0001" w:tentative="1">
      <w:start w:val="1"/>
      <w:numFmt w:val="bullet"/>
      <w:lvlText w:val=""/>
      <w:lvlJc w:val="left"/>
      <w:pPr>
        <w:ind w:left="5004" w:hanging="360"/>
      </w:pPr>
      <w:rPr>
        <w:rFonts w:ascii="Symbol" w:hAnsi="Symbol" w:hint="default"/>
      </w:rPr>
    </w:lvl>
    <w:lvl w:ilvl="4" w:tplc="2C0A0003" w:tentative="1">
      <w:start w:val="1"/>
      <w:numFmt w:val="bullet"/>
      <w:lvlText w:val="o"/>
      <w:lvlJc w:val="left"/>
      <w:pPr>
        <w:ind w:left="5724" w:hanging="360"/>
      </w:pPr>
      <w:rPr>
        <w:rFonts w:ascii="Courier New" w:hAnsi="Courier New" w:cs="Courier New" w:hint="default"/>
      </w:rPr>
    </w:lvl>
    <w:lvl w:ilvl="5" w:tplc="2C0A0005" w:tentative="1">
      <w:start w:val="1"/>
      <w:numFmt w:val="bullet"/>
      <w:lvlText w:val=""/>
      <w:lvlJc w:val="left"/>
      <w:pPr>
        <w:ind w:left="6444" w:hanging="360"/>
      </w:pPr>
      <w:rPr>
        <w:rFonts w:ascii="Wingdings" w:hAnsi="Wingdings" w:hint="default"/>
      </w:rPr>
    </w:lvl>
    <w:lvl w:ilvl="6" w:tplc="2C0A0001" w:tentative="1">
      <w:start w:val="1"/>
      <w:numFmt w:val="bullet"/>
      <w:lvlText w:val=""/>
      <w:lvlJc w:val="left"/>
      <w:pPr>
        <w:ind w:left="7164" w:hanging="360"/>
      </w:pPr>
      <w:rPr>
        <w:rFonts w:ascii="Symbol" w:hAnsi="Symbol" w:hint="default"/>
      </w:rPr>
    </w:lvl>
    <w:lvl w:ilvl="7" w:tplc="2C0A0003" w:tentative="1">
      <w:start w:val="1"/>
      <w:numFmt w:val="bullet"/>
      <w:lvlText w:val="o"/>
      <w:lvlJc w:val="left"/>
      <w:pPr>
        <w:ind w:left="7884" w:hanging="360"/>
      </w:pPr>
      <w:rPr>
        <w:rFonts w:ascii="Courier New" w:hAnsi="Courier New" w:cs="Courier New" w:hint="default"/>
      </w:rPr>
    </w:lvl>
    <w:lvl w:ilvl="8" w:tplc="2C0A0005" w:tentative="1">
      <w:start w:val="1"/>
      <w:numFmt w:val="bullet"/>
      <w:lvlText w:val=""/>
      <w:lvlJc w:val="left"/>
      <w:pPr>
        <w:ind w:left="8604" w:hanging="360"/>
      </w:pPr>
      <w:rPr>
        <w:rFonts w:ascii="Wingdings" w:hAnsi="Wingdings" w:hint="default"/>
      </w:rPr>
    </w:lvl>
  </w:abstractNum>
  <w:abstractNum w:abstractNumId="9" w15:restartNumberingAfterBreak="0">
    <w:nsid w:val="373707D6"/>
    <w:multiLevelType w:val="hybridMultilevel"/>
    <w:tmpl w:val="F8B4DDD0"/>
    <w:lvl w:ilvl="0" w:tplc="B33ED654">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B403DEE"/>
    <w:multiLevelType w:val="hybridMultilevel"/>
    <w:tmpl w:val="8CF290A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CED0EFE"/>
    <w:multiLevelType w:val="hybridMultilevel"/>
    <w:tmpl w:val="AA46CAF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43153AE5"/>
    <w:multiLevelType w:val="hybridMultilevel"/>
    <w:tmpl w:val="1DAA61EC"/>
    <w:lvl w:ilvl="0" w:tplc="2C0A0001">
      <w:start w:val="1"/>
      <w:numFmt w:val="bullet"/>
      <w:lvlText w:val=""/>
      <w:lvlJc w:val="left"/>
      <w:pPr>
        <w:ind w:left="2844" w:hanging="360"/>
      </w:pPr>
      <w:rPr>
        <w:rFonts w:ascii="Symbol" w:hAnsi="Symbol" w:hint="default"/>
      </w:rPr>
    </w:lvl>
    <w:lvl w:ilvl="1" w:tplc="2C0A0003" w:tentative="1">
      <w:start w:val="1"/>
      <w:numFmt w:val="bullet"/>
      <w:lvlText w:val="o"/>
      <w:lvlJc w:val="left"/>
      <w:pPr>
        <w:ind w:left="3564" w:hanging="360"/>
      </w:pPr>
      <w:rPr>
        <w:rFonts w:ascii="Courier New" w:hAnsi="Courier New" w:cs="Courier New" w:hint="default"/>
      </w:rPr>
    </w:lvl>
    <w:lvl w:ilvl="2" w:tplc="2C0A0005" w:tentative="1">
      <w:start w:val="1"/>
      <w:numFmt w:val="bullet"/>
      <w:lvlText w:val=""/>
      <w:lvlJc w:val="left"/>
      <w:pPr>
        <w:ind w:left="4284" w:hanging="360"/>
      </w:pPr>
      <w:rPr>
        <w:rFonts w:ascii="Wingdings" w:hAnsi="Wingdings" w:hint="default"/>
      </w:rPr>
    </w:lvl>
    <w:lvl w:ilvl="3" w:tplc="2C0A0001" w:tentative="1">
      <w:start w:val="1"/>
      <w:numFmt w:val="bullet"/>
      <w:lvlText w:val=""/>
      <w:lvlJc w:val="left"/>
      <w:pPr>
        <w:ind w:left="5004" w:hanging="360"/>
      </w:pPr>
      <w:rPr>
        <w:rFonts w:ascii="Symbol" w:hAnsi="Symbol" w:hint="default"/>
      </w:rPr>
    </w:lvl>
    <w:lvl w:ilvl="4" w:tplc="2C0A0003" w:tentative="1">
      <w:start w:val="1"/>
      <w:numFmt w:val="bullet"/>
      <w:lvlText w:val="o"/>
      <w:lvlJc w:val="left"/>
      <w:pPr>
        <w:ind w:left="5724" w:hanging="360"/>
      </w:pPr>
      <w:rPr>
        <w:rFonts w:ascii="Courier New" w:hAnsi="Courier New" w:cs="Courier New" w:hint="default"/>
      </w:rPr>
    </w:lvl>
    <w:lvl w:ilvl="5" w:tplc="2C0A0005" w:tentative="1">
      <w:start w:val="1"/>
      <w:numFmt w:val="bullet"/>
      <w:lvlText w:val=""/>
      <w:lvlJc w:val="left"/>
      <w:pPr>
        <w:ind w:left="6444" w:hanging="360"/>
      </w:pPr>
      <w:rPr>
        <w:rFonts w:ascii="Wingdings" w:hAnsi="Wingdings" w:hint="default"/>
      </w:rPr>
    </w:lvl>
    <w:lvl w:ilvl="6" w:tplc="2C0A0001" w:tentative="1">
      <w:start w:val="1"/>
      <w:numFmt w:val="bullet"/>
      <w:lvlText w:val=""/>
      <w:lvlJc w:val="left"/>
      <w:pPr>
        <w:ind w:left="7164" w:hanging="360"/>
      </w:pPr>
      <w:rPr>
        <w:rFonts w:ascii="Symbol" w:hAnsi="Symbol" w:hint="default"/>
      </w:rPr>
    </w:lvl>
    <w:lvl w:ilvl="7" w:tplc="2C0A0003" w:tentative="1">
      <w:start w:val="1"/>
      <w:numFmt w:val="bullet"/>
      <w:lvlText w:val="o"/>
      <w:lvlJc w:val="left"/>
      <w:pPr>
        <w:ind w:left="7884" w:hanging="360"/>
      </w:pPr>
      <w:rPr>
        <w:rFonts w:ascii="Courier New" w:hAnsi="Courier New" w:cs="Courier New" w:hint="default"/>
      </w:rPr>
    </w:lvl>
    <w:lvl w:ilvl="8" w:tplc="2C0A0005" w:tentative="1">
      <w:start w:val="1"/>
      <w:numFmt w:val="bullet"/>
      <w:lvlText w:val=""/>
      <w:lvlJc w:val="left"/>
      <w:pPr>
        <w:ind w:left="8604" w:hanging="360"/>
      </w:pPr>
      <w:rPr>
        <w:rFonts w:ascii="Wingdings" w:hAnsi="Wingdings" w:hint="default"/>
      </w:rPr>
    </w:lvl>
  </w:abstractNum>
  <w:abstractNum w:abstractNumId="13" w15:restartNumberingAfterBreak="0">
    <w:nsid w:val="4BC04C8C"/>
    <w:multiLevelType w:val="hybridMultilevel"/>
    <w:tmpl w:val="9986232A"/>
    <w:lvl w:ilvl="0" w:tplc="2C0A0001">
      <w:start w:val="1"/>
      <w:numFmt w:val="bullet"/>
      <w:lvlText w:val=""/>
      <w:lvlJc w:val="left"/>
      <w:pPr>
        <w:ind w:left="3550" w:hanging="360"/>
      </w:pPr>
      <w:rPr>
        <w:rFonts w:ascii="Symbol" w:hAnsi="Symbol" w:hint="default"/>
      </w:rPr>
    </w:lvl>
    <w:lvl w:ilvl="1" w:tplc="2C0A0003" w:tentative="1">
      <w:start w:val="1"/>
      <w:numFmt w:val="bullet"/>
      <w:lvlText w:val="o"/>
      <w:lvlJc w:val="left"/>
      <w:pPr>
        <w:ind w:left="4270" w:hanging="360"/>
      </w:pPr>
      <w:rPr>
        <w:rFonts w:ascii="Courier New" w:hAnsi="Courier New" w:cs="Courier New" w:hint="default"/>
      </w:rPr>
    </w:lvl>
    <w:lvl w:ilvl="2" w:tplc="2C0A0005" w:tentative="1">
      <w:start w:val="1"/>
      <w:numFmt w:val="bullet"/>
      <w:lvlText w:val=""/>
      <w:lvlJc w:val="left"/>
      <w:pPr>
        <w:ind w:left="4990" w:hanging="360"/>
      </w:pPr>
      <w:rPr>
        <w:rFonts w:ascii="Wingdings" w:hAnsi="Wingdings" w:hint="default"/>
      </w:rPr>
    </w:lvl>
    <w:lvl w:ilvl="3" w:tplc="2C0A0001" w:tentative="1">
      <w:start w:val="1"/>
      <w:numFmt w:val="bullet"/>
      <w:lvlText w:val=""/>
      <w:lvlJc w:val="left"/>
      <w:pPr>
        <w:ind w:left="5710" w:hanging="360"/>
      </w:pPr>
      <w:rPr>
        <w:rFonts w:ascii="Symbol" w:hAnsi="Symbol" w:hint="default"/>
      </w:rPr>
    </w:lvl>
    <w:lvl w:ilvl="4" w:tplc="2C0A0003" w:tentative="1">
      <w:start w:val="1"/>
      <w:numFmt w:val="bullet"/>
      <w:lvlText w:val="o"/>
      <w:lvlJc w:val="left"/>
      <w:pPr>
        <w:ind w:left="6430" w:hanging="360"/>
      </w:pPr>
      <w:rPr>
        <w:rFonts w:ascii="Courier New" w:hAnsi="Courier New" w:cs="Courier New" w:hint="default"/>
      </w:rPr>
    </w:lvl>
    <w:lvl w:ilvl="5" w:tplc="2C0A0005" w:tentative="1">
      <w:start w:val="1"/>
      <w:numFmt w:val="bullet"/>
      <w:lvlText w:val=""/>
      <w:lvlJc w:val="left"/>
      <w:pPr>
        <w:ind w:left="7150" w:hanging="360"/>
      </w:pPr>
      <w:rPr>
        <w:rFonts w:ascii="Wingdings" w:hAnsi="Wingdings" w:hint="default"/>
      </w:rPr>
    </w:lvl>
    <w:lvl w:ilvl="6" w:tplc="2C0A0001" w:tentative="1">
      <w:start w:val="1"/>
      <w:numFmt w:val="bullet"/>
      <w:lvlText w:val=""/>
      <w:lvlJc w:val="left"/>
      <w:pPr>
        <w:ind w:left="7870" w:hanging="360"/>
      </w:pPr>
      <w:rPr>
        <w:rFonts w:ascii="Symbol" w:hAnsi="Symbol" w:hint="default"/>
      </w:rPr>
    </w:lvl>
    <w:lvl w:ilvl="7" w:tplc="2C0A0003" w:tentative="1">
      <w:start w:val="1"/>
      <w:numFmt w:val="bullet"/>
      <w:lvlText w:val="o"/>
      <w:lvlJc w:val="left"/>
      <w:pPr>
        <w:ind w:left="8590" w:hanging="360"/>
      </w:pPr>
      <w:rPr>
        <w:rFonts w:ascii="Courier New" w:hAnsi="Courier New" w:cs="Courier New" w:hint="default"/>
      </w:rPr>
    </w:lvl>
    <w:lvl w:ilvl="8" w:tplc="2C0A0005" w:tentative="1">
      <w:start w:val="1"/>
      <w:numFmt w:val="bullet"/>
      <w:lvlText w:val=""/>
      <w:lvlJc w:val="left"/>
      <w:pPr>
        <w:ind w:left="9310" w:hanging="360"/>
      </w:pPr>
      <w:rPr>
        <w:rFonts w:ascii="Wingdings" w:hAnsi="Wingdings" w:hint="default"/>
      </w:rPr>
    </w:lvl>
  </w:abstractNum>
  <w:abstractNum w:abstractNumId="14" w15:restartNumberingAfterBreak="0">
    <w:nsid w:val="4CC84A36"/>
    <w:multiLevelType w:val="hybridMultilevel"/>
    <w:tmpl w:val="745E9A3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4EE86189"/>
    <w:multiLevelType w:val="hybridMultilevel"/>
    <w:tmpl w:val="6E2AD3C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50D8452E"/>
    <w:multiLevelType w:val="hybridMultilevel"/>
    <w:tmpl w:val="94AACBC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58BC76A8"/>
    <w:multiLevelType w:val="hybridMultilevel"/>
    <w:tmpl w:val="D954F3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AB7740D"/>
    <w:multiLevelType w:val="hybridMultilevel"/>
    <w:tmpl w:val="D9682CF0"/>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19" w15:restartNumberingAfterBreak="0">
    <w:nsid w:val="5F325DA0"/>
    <w:multiLevelType w:val="hybridMultilevel"/>
    <w:tmpl w:val="0086740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18"/>
  </w:num>
  <w:num w:numId="4">
    <w:abstractNumId w:val="0"/>
  </w:num>
  <w:num w:numId="5">
    <w:abstractNumId w:val="4"/>
  </w:num>
  <w:num w:numId="6">
    <w:abstractNumId w:val="14"/>
  </w:num>
  <w:num w:numId="7">
    <w:abstractNumId w:val="13"/>
  </w:num>
  <w:num w:numId="8">
    <w:abstractNumId w:val="12"/>
  </w:num>
  <w:num w:numId="9">
    <w:abstractNumId w:val="9"/>
  </w:num>
  <w:num w:numId="10">
    <w:abstractNumId w:val="19"/>
  </w:num>
  <w:num w:numId="11">
    <w:abstractNumId w:val="6"/>
  </w:num>
  <w:num w:numId="12">
    <w:abstractNumId w:val="1"/>
  </w:num>
  <w:num w:numId="13">
    <w:abstractNumId w:val="10"/>
  </w:num>
  <w:num w:numId="14">
    <w:abstractNumId w:val="16"/>
  </w:num>
  <w:num w:numId="15">
    <w:abstractNumId w:val="5"/>
  </w:num>
  <w:num w:numId="16">
    <w:abstractNumId w:val="11"/>
  </w:num>
  <w:num w:numId="17">
    <w:abstractNumId w:val="2"/>
  </w:num>
  <w:num w:numId="18">
    <w:abstractNumId w:val="7"/>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AE7"/>
    <w:rsid w:val="0000340E"/>
    <w:rsid w:val="00004136"/>
    <w:rsid w:val="000121E6"/>
    <w:rsid w:val="00013ACA"/>
    <w:rsid w:val="00015227"/>
    <w:rsid w:val="0002013F"/>
    <w:rsid w:val="00032170"/>
    <w:rsid w:val="0003536E"/>
    <w:rsid w:val="00043AAA"/>
    <w:rsid w:val="00053A2B"/>
    <w:rsid w:val="0005544F"/>
    <w:rsid w:val="0006641B"/>
    <w:rsid w:val="0008102C"/>
    <w:rsid w:val="00085E19"/>
    <w:rsid w:val="000A3ECC"/>
    <w:rsid w:val="000E4C06"/>
    <w:rsid w:val="000E510D"/>
    <w:rsid w:val="000E73FB"/>
    <w:rsid w:val="000F24E4"/>
    <w:rsid w:val="00103226"/>
    <w:rsid w:val="00111643"/>
    <w:rsid w:val="00111BF7"/>
    <w:rsid w:val="00121D32"/>
    <w:rsid w:val="001332CA"/>
    <w:rsid w:val="001406F2"/>
    <w:rsid w:val="001501E3"/>
    <w:rsid w:val="001550F5"/>
    <w:rsid w:val="00155B7C"/>
    <w:rsid w:val="001646FC"/>
    <w:rsid w:val="001662C9"/>
    <w:rsid w:val="00187A46"/>
    <w:rsid w:val="00190750"/>
    <w:rsid w:val="001966DE"/>
    <w:rsid w:val="001A0701"/>
    <w:rsid w:val="001B43CA"/>
    <w:rsid w:val="001C0B52"/>
    <w:rsid w:val="001D7E2F"/>
    <w:rsid w:val="001E42D3"/>
    <w:rsid w:val="001F2207"/>
    <w:rsid w:val="00221D02"/>
    <w:rsid w:val="002237D0"/>
    <w:rsid w:val="00240428"/>
    <w:rsid w:val="00240EBE"/>
    <w:rsid w:val="00266BD1"/>
    <w:rsid w:val="00276479"/>
    <w:rsid w:val="002771BD"/>
    <w:rsid w:val="00283618"/>
    <w:rsid w:val="0028577F"/>
    <w:rsid w:val="00286D25"/>
    <w:rsid w:val="00290586"/>
    <w:rsid w:val="0029203F"/>
    <w:rsid w:val="002A06BF"/>
    <w:rsid w:val="002A65A6"/>
    <w:rsid w:val="002E42E1"/>
    <w:rsid w:val="002E7CB7"/>
    <w:rsid w:val="002F09F4"/>
    <w:rsid w:val="00300670"/>
    <w:rsid w:val="003010E9"/>
    <w:rsid w:val="00322C9D"/>
    <w:rsid w:val="0032543E"/>
    <w:rsid w:val="00326EE2"/>
    <w:rsid w:val="00326F5E"/>
    <w:rsid w:val="00335D3B"/>
    <w:rsid w:val="00342E13"/>
    <w:rsid w:val="00345920"/>
    <w:rsid w:val="00364F23"/>
    <w:rsid w:val="0038112B"/>
    <w:rsid w:val="00381C98"/>
    <w:rsid w:val="0039390F"/>
    <w:rsid w:val="003C38B5"/>
    <w:rsid w:val="003C4C3E"/>
    <w:rsid w:val="003C58E3"/>
    <w:rsid w:val="003E2041"/>
    <w:rsid w:val="003F1B6C"/>
    <w:rsid w:val="003F1E0C"/>
    <w:rsid w:val="004009F7"/>
    <w:rsid w:val="004100AC"/>
    <w:rsid w:val="00431689"/>
    <w:rsid w:val="0044643C"/>
    <w:rsid w:val="00451816"/>
    <w:rsid w:val="00466803"/>
    <w:rsid w:val="00466BCB"/>
    <w:rsid w:val="00467B91"/>
    <w:rsid w:val="004750A0"/>
    <w:rsid w:val="004817C7"/>
    <w:rsid w:val="004D43E0"/>
    <w:rsid w:val="004D4ADE"/>
    <w:rsid w:val="004D56BC"/>
    <w:rsid w:val="004E6B50"/>
    <w:rsid w:val="004F1E20"/>
    <w:rsid w:val="004F2CC7"/>
    <w:rsid w:val="004F47B5"/>
    <w:rsid w:val="004F50F9"/>
    <w:rsid w:val="0050546A"/>
    <w:rsid w:val="005069C9"/>
    <w:rsid w:val="00512393"/>
    <w:rsid w:val="00545FEC"/>
    <w:rsid w:val="00553DBD"/>
    <w:rsid w:val="00554F6D"/>
    <w:rsid w:val="00562A63"/>
    <w:rsid w:val="0056451D"/>
    <w:rsid w:val="00565E35"/>
    <w:rsid w:val="0057055E"/>
    <w:rsid w:val="0057217D"/>
    <w:rsid w:val="00575540"/>
    <w:rsid w:val="00583886"/>
    <w:rsid w:val="005933FE"/>
    <w:rsid w:val="00594394"/>
    <w:rsid w:val="005A08E8"/>
    <w:rsid w:val="005A55B9"/>
    <w:rsid w:val="005A57C1"/>
    <w:rsid w:val="005B2F4F"/>
    <w:rsid w:val="005B7C73"/>
    <w:rsid w:val="005D3190"/>
    <w:rsid w:val="005F532C"/>
    <w:rsid w:val="0061264B"/>
    <w:rsid w:val="00614C11"/>
    <w:rsid w:val="00630366"/>
    <w:rsid w:val="00640788"/>
    <w:rsid w:val="00656821"/>
    <w:rsid w:val="00690FD8"/>
    <w:rsid w:val="00696526"/>
    <w:rsid w:val="006A6DAB"/>
    <w:rsid w:val="006B7CA6"/>
    <w:rsid w:val="006C1B5E"/>
    <w:rsid w:val="006C2343"/>
    <w:rsid w:val="006C6692"/>
    <w:rsid w:val="006E2A76"/>
    <w:rsid w:val="006E2ADE"/>
    <w:rsid w:val="006E787F"/>
    <w:rsid w:val="006F01CB"/>
    <w:rsid w:val="006F28F5"/>
    <w:rsid w:val="006F3358"/>
    <w:rsid w:val="00706B2E"/>
    <w:rsid w:val="007109B1"/>
    <w:rsid w:val="00711909"/>
    <w:rsid w:val="00712EB6"/>
    <w:rsid w:val="007205F4"/>
    <w:rsid w:val="00735461"/>
    <w:rsid w:val="007360DF"/>
    <w:rsid w:val="00740454"/>
    <w:rsid w:val="007415B4"/>
    <w:rsid w:val="0074166E"/>
    <w:rsid w:val="00745938"/>
    <w:rsid w:val="00747644"/>
    <w:rsid w:val="0076361D"/>
    <w:rsid w:val="007672D3"/>
    <w:rsid w:val="0077165F"/>
    <w:rsid w:val="00772945"/>
    <w:rsid w:val="00772BE7"/>
    <w:rsid w:val="007821B7"/>
    <w:rsid w:val="00786D56"/>
    <w:rsid w:val="007871DC"/>
    <w:rsid w:val="00790629"/>
    <w:rsid w:val="007A0555"/>
    <w:rsid w:val="007A2EFE"/>
    <w:rsid w:val="007B0F74"/>
    <w:rsid w:val="007F57EF"/>
    <w:rsid w:val="007F60E4"/>
    <w:rsid w:val="007F7CFA"/>
    <w:rsid w:val="00801388"/>
    <w:rsid w:val="00811AFC"/>
    <w:rsid w:val="0081415E"/>
    <w:rsid w:val="0082028D"/>
    <w:rsid w:val="008270C8"/>
    <w:rsid w:val="0083646E"/>
    <w:rsid w:val="0086559D"/>
    <w:rsid w:val="0087048B"/>
    <w:rsid w:val="00873708"/>
    <w:rsid w:val="008869FB"/>
    <w:rsid w:val="00890C4A"/>
    <w:rsid w:val="00891FE5"/>
    <w:rsid w:val="008A7582"/>
    <w:rsid w:val="008B1A2A"/>
    <w:rsid w:val="008F1999"/>
    <w:rsid w:val="008F1B25"/>
    <w:rsid w:val="009016BA"/>
    <w:rsid w:val="00943537"/>
    <w:rsid w:val="009444F2"/>
    <w:rsid w:val="009518B3"/>
    <w:rsid w:val="0095509C"/>
    <w:rsid w:val="00970D37"/>
    <w:rsid w:val="00971E33"/>
    <w:rsid w:val="0097575D"/>
    <w:rsid w:val="00975F1D"/>
    <w:rsid w:val="0099230A"/>
    <w:rsid w:val="00993B5C"/>
    <w:rsid w:val="009A1F39"/>
    <w:rsid w:val="009A4393"/>
    <w:rsid w:val="009B0728"/>
    <w:rsid w:val="009C1BAE"/>
    <w:rsid w:val="009C6B6D"/>
    <w:rsid w:val="009D5D12"/>
    <w:rsid w:val="009F111C"/>
    <w:rsid w:val="009F7CDD"/>
    <w:rsid w:val="00A001C0"/>
    <w:rsid w:val="00A003AB"/>
    <w:rsid w:val="00A060A0"/>
    <w:rsid w:val="00A06A6F"/>
    <w:rsid w:val="00A1106B"/>
    <w:rsid w:val="00A13B26"/>
    <w:rsid w:val="00A2433C"/>
    <w:rsid w:val="00A26572"/>
    <w:rsid w:val="00A35F14"/>
    <w:rsid w:val="00A57997"/>
    <w:rsid w:val="00A6325D"/>
    <w:rsid w:val="00A652E2"/>
    <w:rsid w:val="00A72AD4"/>
    <w:rsid w:val="00A9002C"/>
    <w:rsid w:val="00A93D6E"/>
    <w:rsid w:val="00AA52AA"/>
    <w:rsid w:val="00AB428A"/>
    <w:rsid w:val="00AC0DF1"/>
    <w:rsid w:val="00AD66A4"/>
    <w:rsid w:val="00AF070A"/>
    <w:rsid w:val="00AF1B61"/>
    <w:rsid w:val="00AF1C9C"/>
    <w:rsid w:val="00AF3709"/>
    <w:rsid w:val="00B2684A"/>
    <w:rsid w:val="00B3334F"/>
    <w:rsid w:val="00B42790"/>
    <w:rsid w:val="00B547F4"/>
    <w:rsid w:val="00B671D0"/>
    <w:rsid w:val="00B67C84"/>
    <w:rsid w:val="00B74929"/>
    <w:rsid w:val="00B755FA"/>
    <w:rsid w:val="00B909A2"/>
    <w:rsid w:val="00B913F2"/>
    <w:rsid w:val="00B958A6"/>
    <w:rsid w:val="00BA2A26"/>
    <w:rsid w:val="00BA3D70"/>
    <w:rsid w:val="00BA3DC1"/>
    <w:rsid w:val="00BC0A4B"/>
    <w:rsid w:val="00BD40E2"/>
    <w:rsid w:val="00BE1712"/>
    <w:rsid w:val="00C003A8"/>
    <w:rsid w:val="00C165A5"/>
    <w:rsid w:val="00C200A0"/>
    <w:rsid w:val="00C24A88"/>
    <w:rsid w:val="00C26047"/>
    <w:rsid w:val="00C267B3"/>
    <w:rsid w:val="00C50C6B"/>
    <w:rsid w:val="00C5259C"/>
    <w:rsid w:val="00C548E6"/>
    <w:rsid w:val="00C83604"/>
    <w:rsid w:val="00C858AE"/>
    <w:rsid w:val="00CA2241"/>
    <w:rsid w:val="00CA4E55"/>
    <w:rsid w:val="00CB223F"/>
    <w:rsid w:val="00CC4D1F"/>
    <w:rsid w:val="00CE1804"/>
    <w:rsid w:val="00CE28CA"/>
    <w:rsid w:val="00CF25C6"/>
    <w:rsid w:val="00D056DC"/>
    <w:rsid w:val="00D201E1"/>
    <w:rsid w:val="00D207CC"/>
    <w:rsid w:val="00D3368E"/>
    <w:rsid w:val="00D378EE"/>
    <w:rsid w:val="00D4114C"/>
    <w:rsid w:val="00D43D09"/>
    <w:rsid w:val="00D46AE7"/>
    <w:rsid w:val="00D6264D"/>
    <w:rsid w:val="00D85608"/>
    <w:rsid w:val="00D93CDE"/>
    <w:rsid w:val="00DB2E84"/>
    <w:rsid w:val="00DB61B6"/>
    <w:rsid w:val="00DC5EF1"/>
    <w:rsid w:val="00DD38F1"/>
    <w:rsid w:val="00DE04DD"/>
    <w:rsid w:val="00E15CED"/>
    <w:rsid w:val="00E22CBF"/>
    <w:rsid w:val="00E37E20"/>
    <w:rsid w:val="00E438D7"/>
    <w:rsid w:val="00E62E62"/>
    <w:rsid w:val="00E65C70"/>
    <w:rsid w:val="00E72DD1"/>
    <w:rsid w:val="00E84EAF"/>
    <w:rsid w:val="00E9325B"/>
    <w:rsid w:val="00EA2CC5"/>
    <w:rsid w:val="00EB6E86"/>
    <w:rsid w:val="00ED1CBF"/>
    <w:rsid w:val="00EF6DE9"/>
    <w:rsid w:val="00EF7FE1"/>
    <w:rsid w:val="00F15030"/>
    <w:rsid w:val="00F16209"/>
    <w:rsid w:val="00F501EC"/>
    <w:rsid w:val="00F57065"/>
    <w:rsid w:val="00F66FC6"/>
    <w:rsid w:val="00F735BE"/>
    <w:rsid w:val="00F91EBF"/>
    <w:rsid w:val="00F966D1"/>
    <w:rsid w:val="00FA27D4"/>
    <w:rsid w:val="00FA35D9"/>
    <w:rsid w:val="00FB2B8F"/>
    <w:rsid w:val="00FB5E9C"/>
    <w:rsid w:val="00FE28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F269F-B9F5-424E-B0EF-31330DD8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A57C1"/>
    <w:pPr>
      <w:spacing w:after="0"/>
    </w:pPr>
  </w:style>
  <w:style w:type="paragraph" w:styleId="Textonotapie">
    <w:name w:val="footnote text"/>
    <w:basedOn w:val="Normal"/>
    <w:link w:val="TextonotapieCar"/>
    <w:uiPriority w:val="99"/>
    <w:semiHidden/>
    <w:unhideWhenUsed/>
    <w:rsid w:val="00745938"/>
    <w:pPr>
      <w:spacing w:after="0"/>
    </w:pPr>
    <w:rPr>
      <w:sz w:val="20"/>
      <w:szCs w:val="20"/>
    </w:rPr>
  </w:style>
  <w:style w:type="character" w:customStyle="1" w:styleId="TextonotapieCar">
    <w:name w:val="Texto nota pie Car"/>
    <w:basedOn w:val="Fuentedeprrafopredeter"/>
    <w:link w:val="Textonotapie"/>
    <w:uiPriority w:val="99"/>
    <w:semiHidden/>
    <w:rsid w:val="00745938"/>
    <w:rPr>
      <w:sz w:val="20"/>
      <w:szCs w:val="20"/>
    </w:rPr>
  </w:style>
  <w:style w:type="character" w:styleId="Refdenotaalpie">
    <w:name w:val="footnote reference"/>
    <w:basedOn w:val="Fuentedeprrafopredeter"/>
    <w:uiPriority w:val="99"/>
    <w:semiHidden/>
    <w:unhideWhenUsed/>
    <w:rsid w:val="00745938"/>
    <w:rPr>
      <w:vertAlign w:val="superscript"/>
    </w:rPr>
  </w:style>
  <w:style w:type="paragraph" w:styleId="Prrafodelista">
    <w:name w:val="List Paragraph"/>
    <w:basedOn w:val="Normal"/>
    <w:uiPriority w:val="34"/>
    <w:qFormat/>
    <w:rsid w:val="00836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56A26-B79E-4932-8793-2B64BA9E3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12069</Words>
  <Characters>66384</Characters>
  <Application>Microsoft Office Word</Application>
  <DocSecurity>0</DocSecurity>
  <Lines>553</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asolidaria</dc:creator>
  <cp:lastModifiedBy>zzzuru68@gmail.com</cp:lastModifiedBy>
  <cp:revision>2</cp:revision>
  <dcterms:created xsi:type="dcterms:W3CDTF">2018-12-11T18:43:00Z</dcterms:created>
  <dcterms:modified xsi:type="dcterms:W3CDTF">2018-12-11T18:43:00Z</dcterms:modified>
</cp:coreProperties>
</file>