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EL LUGAR DEL CUERPO Y LO SENSIBLE EN LA ENSEÑANZA</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 Podemos partir de la simple observación de que para llamar a alguien aprendiz tiene que haber algo para que esta persona aprenda. Este ‘algo’ puede ser casi cualquier cosa mientras pueda ser aprendido: conocimiento, valores, entendimiento, habilidades, disposiciones, capacidades, competencias, criticidad, identidad, autonomía, y así sucesivamente. Sin embargo, lo que importa al llamar a alguien aprendiz no reside en qué es necesario aprender; lo que importa es el hecho de que el aprendiz está construido en términos de carencia. El aprendiz es la persona a la que le falta algo. El aprendiz es la persona que no está todavía completa (…). (...) mientras haya una ‘débil’ construcción del aprendiz como la persona que necesita aprender algo que todavía no sabe o no es capaz de hacer, hay también una ‘fuerte’ construcción del aprendiz como la persona que no puede aprender por sí misma, es decir, sin la intervención de un educador. Esta fuerte construcción del aprendiz sugiere una carencia más fundamental. Aquí, el aprendiz no carece simplemente de lo que necesita ser aprendido; aquí el aprendiz está careciendo de la misma capacidad de aprender sin la intervención del educador.” “Decir que la pregunta en cuanto a quién puede hablar trata sobre a quién ‘se le permite’ hablar, por tanto, no significa intentar señalar a alguien que tiene el poder de dejar hablar a los otros sino que se refiere a una particular ‘distribución de lo sensible’ en la cual algún ‘sonido’ existe como ‘ruido’ y otro ‘sonido’ existe como ‘voz’.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Gert, Biesta (2011); “Aprendiz, estudiante, hablante. ¿Por qué importa cómo llamamos a aquellos a quienes enseñamos?” en Simons, M., Masschelein, J. y Larrosa, J. (eds.). </w:t>
      </w:r>
      <w:r>
        <w:rPr>
          <w:rFonts w:ascii="Calibri" w:hAnsi="Calibri" w:cs="Calibri" w:eastAsia="Calibri"/>
          <w:i/>
          <w:color w:val="auto"/>
          <w:spacing w:val="0"/>
          <w:position w:val="0"/>
          <w:sz w:val="24"/>
          <w:shd w:fill="auto" w:val="clear"/>
        </w:rPr>
        <w:t xml:space="preserve">Jacques Rancière. La educación y la domesticación de la democracia</w:t>
      </w:r>
      <w:r>
        <w:rPr>
          <w:rFonts w:ascii="Calibri" w:hAnsi="Calibri" w:cs="Calibri" w:eastAsia="Calibri"/>
          <w:color w:val="auto"/>
          <w:spacing w:val="0"/>
          <w:position w:val="0"/>
          <w:sz w:val="24"/>
          <w:shd w:fill="auto" w:val="clear"/>
        </w:rPr>
        <w:t xml:space="preserve">, Buenos Aires, Miño y Dávila, pp. 149-174.</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 Las palabras y los gestos, las entonaciones emotivas, los ritmos, el ánimo, la dirección de la mirada, la escucha, son, en definitiva, las materialidades del estilo que impregna la transmisión del pensar, que se ponen en juego en la escena pedagógica en la relación entre un sujeto que moviliza la enseñanza de la filosofía, para bien o para mal, y quienes son afectados por ella o permanecen en la indiferencia. Los contenidos de la enseñanza se eligen por quien los transmite y se corporeizan al mismo tiempo que se humedecen con el flujo de los propios pensamientos. [En la escena pedagógica] Se ponen en escena cuerpos, voces, textos, pensamientos, imágenes (presentes y evocadas por las diversas interacciones), que tienen efectos de resonancia en los contenidos que se consideran. En esta escena no es indiferente el cuerpo sexuado.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Olga Grau Duhart (2009); “La enseñanza de la filosofía y cuestiones de género” en Cerletti, A. (comp.). </w:t>
      </w:r>
      <w:r>
        <w:rPr>
          <w:rFonts w:ascii="Calibri" w:hAnsi="Calibri" w:cs="Calibri" w:eastAsia="Calibri"/>
          <w:i/>
          <w:color w:val="auto"/>
          <w:spacing w:val="0"/>
          <w:position w:val="0"/>
          <w:sz w:val="24"/>
          <w:shd w:fill="auto" w:val="clear"/>
        </w:rPr>
        <w:t xml:space="preserve">La enseñanza de la filosofía en perspectiva</w:t>
      </w:r>
      <w:r>
        <w:rPr>
          <w:rFonts w:ascii="Calibri" w:hAnsi="Calibri" w:cs="Calibri" w:eastAsia="Calibri"/>
          <w:color w:val="auto"/>
          <w:spacing w:val="0"/>
          <w:position w:val="0"/>
          <w:sz w:val="24"/>
          <w:shd w:fill="auto" w:val="clear"/>
        </w:rPr>
        <w:t xml:space="preserve">, Buenos Aires, Eudeba, pp. 207-216.</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 Lxs profesorxs rara vez hablamos del lugar del eros o de lo erótico en las aulas. Formadxs en el contexto filosófico del dualismo metafísico occidental, muchxs aceptamos la noción de que hay una separación entre el cuerpo y la mente. Al creer esto, lxs sujetxs entran al aula para enseñar como si sólo la mente estuviese presente, y no el cuerpo. [...]El mundo público del aprendizaje institucional fue un lugar donde el cuerpo debía ser borrado, debía pasar desapercibido. Cuando comencé a ejercer como profesora y necesitaba usar el baño en medio de una clase, no tenía la menor idea de qué hacían mis antecesorxs en tales situaciones. Nadie me habló sobre el cuerpo en relación a la enseñanza.¿Qué se hacía con el cuerpo en el aula? Al intentar recordar los cuerpos de mis profesorxs, me descubro incapaz de traerlos a la memoria. Escucho voces, recuerdo detalles fragmentados, pero muy pocos cuerpos enteros. Al entrar al aula con la determinación de borrar el cuerpo y entregarnos por entero a la mente, mostramos a través de nuestro ser cuán profundamente hemos aceptado el supuesto de que la pasión no tiene lugar en el aula.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Comprender que el eros es una fuerza que intensifica nuestro esfuerzo de autorrealización, que puede aportar una base epistemológica que nos permita explicar cómo conocemos aquello que conocemos, posibilita que tanto profesorxs como estudiantxs usemos esa energía en el contexto del aula de formas tales que fortalezcan el debate y estimulen la imaginación crítica.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Bell Hooks (2018) “Eros, erotismo y proceso pedagógico”. En Britzman, D., Flores, V. y Hooks, B., </w:t>
      </w:r>
      <w:r>
        <w:rPr>
          <w:rFonts w:ascii="Calibri" w:hAnsi="Calibri" w:cs="Calibri" w:eastAsia="Calibri"/>
          <w:i/>
          <w:color w:val="auto"/>
          <w:spacing w:val="0"/>
          <w:position w:val="0"/>
          <w:sz w:val="24"/>
          <w:shd w:fill="auto" w:val="clear"/>
        </w:rPr>
        <w:t xml:space="preserve">Pedagogías transgresoras</w:t>
      </w:r>
      <w:r>
        <w:rPr>
          <w:rFonts w:ascii="Calibri" w:hAnsi="Calibri" w:cs="Calibri" w:eastAsia="Calibri"/>
          <w:color w:val="auto"/>
          <w:spacing w:val="0"/>
          <w:position w:val="0"/>
          <w:sz w:val="24"/>
          <w:shd w:fill="auto" w:val="clear"/>
        </w:rPr>
        <w:t xml:space="preserve">, Santa Fe, Bocavulvaria Ediciones, pp. 3-12.</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4. Proliferan cursos, talleres, capacitaciones, campañas sobre el abuso sexual infantil. Proliferan los “casos” que aparecen en nuestras escuelas. Prolifera la prevención y se extiende el pánico moral y sexual. Prolifera la espectacularización de esa violencia y su consecuente producción de estereotipos. Se habla del daño, de una forma del daño. Se habla de la violencia, de un modo de la violencia. Se habla del crimen, de un tipo de crimen. Sin embargo, de lo que casi no se habla es de cómo la heterosexualidad, ese régimen político de regulación corporal, moldea nuestras vidas, nuestros cuerpos, nuestros afectos, nuestras prácticas pedagógicas. Cómo la pedagogía informal e institucionalizada de la heterosexualidad produce cuerpos dañados de niñas, niños y niñes al promover y legitimar modos normativos de la experiencia del género, la que es administrada por la ley binaria de la masculinidad y la feminidad que impone modelos hegemónicos de identidad sexual y de género.</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Valeria Flores (2018), “Afectos, pedagogías, infancias y heteronormatividad: Reflexiones sobre el daño”. En Britzman, D., Flores, V. y Hooks, B., </w:t>
      </w:r>
      <w:r>
        <w:rPr>
          <w:rFonts w:ascii="Calibri" w:hAnsi="Calibri" w:cs="Calibri" w:eastAsia="Calibri"/>
          <w:i/>
          <w:color w:val="auto"/>
          <w:spacing w:val="0"/>
          <w:position w:val="0"/>
          <w:sz w:val="24"/>
          <w:shd w:fill="auto" w:val="clear"/>
        </w:rPr>
        <w:t xml:space="preserve">Pedagogías transgresoras</w:t>
      </w:r>
      <w:r>
        <w:rPr>
          <w:rFonts w:ascii="Calibri" w:hAnsi="Calibri" w:cs="Calibri" w:eastAsia="Calibri"/>
          <w:color w:val="auto"/>
          <w:spacing w:val="0"/>
          <w:position w:val="0"/>
          <w:sz w:val="24"/>
          <w:shd w:fill="auto" w:val="clear"/>
        </w:rPr>
        <w:t xml:space="preserve">, Santa Fe, Bocavulvaria Ediciones</w:t>
      </w:r>
    </w:p>
    <w:p>
      <w:pPr>
        <w:spacing w:before="0" w:after="200" w:line="276"/>
        <w:ind w:right="0" w:left="0" w:firstLine="0"/>
        <w:jc w:val="both"/>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