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TESIS EPISTEMOLÓGICAS DE PAUL FEYERABEND</w:t>
      </w:r>
    </w:p>
    <w:p>
      <w:pPr>
        <w:spacing w:before="0" w:after="20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«No estoy afirmando que podemos vivir sin las ciencias. No podemos. Habiendo participado en, o permitido, la construcción de un medio en el que las leyes científicas se proyectan, tanto materialmente, en productos tecnológicos, y espiritualmente, en las ideas que permitimos que guíen nuestras decisiones más importantes, nosotros, científicos al igual que los ciudadanos corrientes de la civilización occidental, estamos sometidos a sus reglas. Pero las condiciones sociales cambian y la ciencia cambia con ellas. El siglo XIX negaba las ventajas de la pluralidad cultural; la ciencia del siglo XX, escarmentada por una serie de revoluciones deprimentes y acuciada por sociólogos y antropólogos, las reconoce. Los mismos científicos, filósofos, políticos que apoyan a la ciencia, cambian la ciencia mediante ese mismo apoyo y cambian el mundo con él. Este mundo no es una entidad estática poblada por hormigas pensantes que, arrastrándose por sus hendiduras, descubren gradualmente sus rasgos sin afectarlos de ninguna forma. Es una entidad dinámica y con muchas caras que afecta y refleja la actividad de sus exploradores. Fue una vez un mundo lleno de dioses; después se convirtió en un monótono mundo material y, esperamos, cambiará más hacia unmundo más pacífico en donde materia y vida, pensamiento y sentimiento, innovación y tradición, colaborarán para beneficio de todos» (Paul Feyerabend, P. K. Feyerabend, «Tesis sobre el anarquismo», incluido, como «Postfacio» a </w:t>
      </w:r>
      <w:r>
        <w:rPr>
          <w:rFonts w:ascii="Calibri" w:hAnsi="Calibri" w:cs="Calibri" w:eastAsia="Calibri"/>
          <w:i/>
          <w:color w:val="auto"/>
          <w:spacing w:val="0"/>
          <w:position w:val="0"/>
          <w:sz w:val="24"/>
          <w:shd w:fill="auto" w:val="clear"/>
        </w:rPr>
        <w:t xml:space="preserve">El mito de la ciencia y su papel en la sociedad</w:t>
      </w:r>
      <w:r>
        <w:rPr>
          <w:rFonts w:ascii="Calibri" w:hAnsi="Calibri" w:cs="Calibri" w:eastAsia="Calibri"/>
          <w:color w:val="auto"/>
          <w:spacing w:val="0"/>
          <w:position w:val="0"/>
          <w:sz w:val="24"/>
          <w:shd w:fill="auto" w:val="clear"/>
        </w:rPr>
        <w:t xml:space="preserve">).</w:t>
      </w:r>
    </w:p>
    <w:p>
      <w:pPr>
        <w:spacing w:before="0" w:after="20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Feyerabend se consideraba un anarquista epistemológico, esto es, alguien que «no tiene reparos en defender la más trivial o la más desaforada afirmación». Pero mientras que «el anarquista político quiere destruir una determinada forma de vida, el anarquista epistemológico puede querer defenderla, porque no guarda lealtad perpetua ni tampoco siente aversión perpetua respecto de institución o ideología alguna». Una vez que el anarquista epistemológico ha «establecido su doctrina… puede tratar de venderla». Y sus métodos de venta dependerían de| auditorio. «Si se encuentra frente a un auditorio de científicos y filósofos de la ciencia, producirá series de enunciadosdestinadas a convencerles de que las cosas que ellos más aprecian en la ciencia han sido realizadas más o menos de una manera anarquista. Recurriendo a las tretas propagandísticas que con mayorprobabilidad puedan tener éxito con este tipo de auditorio, es decir, mediante el uso de argumentos, demostrará, apoyándose en la historia, que no hay una sola regla metodológica que no causeocasionalmente inhibición a la ciencia, y que no hay una sola propuesta “irracional” que no pueda fomentarla, dándose las circunstancias adecuadas… Haciendo uso, hasta provocar el máximo efecto, de todos estos elementos y piezas de propaganda, el anarquista epistemológico tratará de convencer a su auditorio de que la única regla universal de la que puede decirse honestamente que está en concordancia con los movimientos que ha de realizar un científico para hacer que su ciencia avance es todo vale». (José Manuel Sánchez Ron, "Introducción". En: Paul Feyerabend, </w:t>
      </w:r>
      <w:r>
        <w:rPr>
          <w:rFonts w:ascii="Calibri" w:hAnsi="Calibri" w:cs="Calibri" w:eastAsia="Calibri"/>
          <w:i/>
          <w:color w:val="auto"/>
          <w:spacing w:val="0"/>
          <w:position w:val="0"/>
          <w:sz w:val="24"/>
          <w:shd w:fill="auto" w:val="clear"/>
        </w:rPr>
        <w:t xml:space="preserve">Matando el tiempo</w:t>
      </w:r>
      <w:r>
        <w:rPr>
          <w:rFonts w:ascii="Calibri" w:hAnsi="Calibri" w:cs="Calibri" w:eastAsia="Calibri"/>
          <w:color w:val="auto"/>
          <w:spacing w:val="0"/>
          <w:position w:val="0"/>
          <w:sz w:val="24"/>
          <w:shd w:fill="auto" w:val="clear"/>
        </w:rPr>
        <w:t xml:space="preserve"> (texto de 1994; en: ebugratis.org)</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