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María Lugones* </w:t>
      </w:r>
    </w:p>
    <w:p>
      <w:pPr>
        <w:spacing w:before="0" w:after="200" w:line="360"/>
        <w:ind w:right="0" w:left="0" w:firstLine="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"Colonialidad y género: Hacia un feminismo descolonial". En: </w:t>
      </w:r>
      <w:r>
        <w:rPr>
          <w:rFonts w:ascii="Calibri" w:hAnsi="Calibri" w:cs="Calibri" w:eastAsia="Calibri"/>
          <w:b/>
          <w:i/>
          <w:color w:val="auto"/>
          <w:spacing w:val="0"/>
          <w:position w:val="0"/>
          <w:sz w:val="22"/>
          <w:shd w:fill="auto" w:val="clear"/>
        </w:rPr>
        <w:t xml:space="preserve">Tabula Rasa</w:t>
      </w:r>
      <w:r>
        <w:rPr>
          <w:rFonts w:ascii="Calibri" w:hAnsi="Calibri" w:cs="Calibri" w:eastAsia="Calibri"/>
          <w:b/>
          <w:color w:val="auto"/>
          <w:spacing w:val="0"/>
          <w:position w:val="0"/>
          <w:sz w:val="22"/>
          <w:shd w:fill="auto" w:val="clear"/>
        </w:rPr>
        <w:t xml:space="preserve"> (Bogotá), núm. 9 (julio</w:t>
      </w:r>
      <w:r>
        <w:rPr>
          <w:rFonts w:ascii="Calibri" w:hAnsi="Calibri" w:cs="Calibri" w:eastAsia="Calibri"/>
          <w:b/>
          <w:color w:val="auto"/>
          <w:spacing w:val="0"/>
          <w:position w:val="0"/>
          <w:sz w:val="22"/>
          <w:shd w:fill="auto" w:val="clear"/>
        </w:rPr>
        <w:t xml:space="preserve">–diciembre): </w:t>
      </w:r>
      <w:r>
        <w:rPr>
          <w:rFonts w:ascii="Calibri" w:hAnsi="Calibri" w:cs="Calibri" w:eastAsia="Calibri"/>
          <w:b/>
          <w:color w:val="auto"/>
          <w:spacing w:val="0"/>
          <w:position w:val="0"/>
          <w:sz w:val="22"/>
          <w:shd w:fill="auto" w:val="clear"/>
        </w:rPr>
        <w:t xml:space="preserve">págs. </w:t>
      </w:r>
      <w:r>
        <w:rPr>
          <w:rFonts w:ascii="Calibri" w:hAnsi="Calibri" w:cs="Calibri" w:eastAsia="Calibri"/>
          <w:b/>
          <w:color w:val="auto"/>
          <w:spacing w:val="0"/>
          <w:position w:val="0"/>
          <w:sz w:val="22"/>
          <w:shd w:fill="auto" w:val="clear"/>
        </w:rPr>
        <w:t xml:space="preserve">73–101.</w:t>
      </w:r>
      <w:r>
        <w:rPr>
          <w:rFonts w:ascii="Calibri" w:hAnsi="Calibri" w:cs="Calibri" w:eastAsia="Calibri"/>
          <w:b/>
          <w:color w:val="auto"/>
          <w:spacing w:val="0"/>
          <w:position w:val="0"/>
          <w:sz w:val="22"/>
          <w:shd w:fill="auto" w:val="clear"/>
        </w:rPr>
        <w:t xml:space="preserve"> Año 2008</w:t>
      </w:r>
    </w:p>
    <w:p>
      <w:pPr>
        <w:spacing w:before="0" w:after="20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“Investigo la intersección de raza, clase, género y sexualidad para entender la preocupante indiferencia que los hombres muestran hacia las violencias que sistemáticamente se infringen sobre las mujeres de color: mujeres no blancas; mujeres víctimas de la colonialidad del poder e, inseparablemente, de la colonialidad del género; mujeres que han creado análisis críticos del feminismo hegemónico precisamente por el ignorar la interseccionalidad de raza/clase/sexualidad/género. Sobre todo, ya que es importante para nuestras luchas, me refiero a la indiferencia de aquellos hombres que continúan siendo víctimas de la dominación racial, de la colonialidad del poder, inferiorizados por el capitalismo global”. </w:t>
      </w:r>
    </w:p>
    <w:p>
      <w:pPr>
        <w:spacing w:before="0" w:after="20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“Entender los rasgos históricamente específicos de la organización del género en el sistema moderno/colonial de género (dimorfismo biológico, la organización patriarcal y heterosexual de las relaciones sociales) es central a una comprensión de la organización diferencial del género en términos raciales. Tanto el dimorfismo biológico, el heterosexualismo, como el patriarcado son característicos de lo que llamo el lado claro/visible de la organización colonial/moderna del género. El dimorfismo biológico, la dicotomía hombre/mujer, el heterosexualismo, y el patriarcado están inscriptos con mayúsculas, y hegemónicamente en el significado mismo del género. Quijano no ha tomado conciencia de su propia aceptación del significado hegemónico del género. (...) Por lo tanto, «colonialidad» no se refiere solamente a la clasificación racial. Es un fenómeno abarcador, ya que se trata de uno de los ejes del sistema de poder y, como tal, permea todo control del acceso sexual, la autoridad colectiva, el trabajo, y la subjetividad/intersubjetividad, y la producción del conocimiento desde el interior mismo de estas relaciones intersubjetivas. Para ponerlo de otro modo, todo control del sexo, la subjetividad, la autoridad, y el trabajo, están expresados en conexión con la colonialidad”.</w:t>
      </w:r>
    </w:p>
    <w:p>
      <w:pPr>
        <w:spacing w:before="0" w:after="20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“Borrando toda historia, incluyendo la historia oral, de la relación entre las mujeres blancas y las no-blancas, el feminismo hegemónico blanco equiparó mujer blanca y mujer (...) La lucha de las feministas blancas y de la «segunda liberación de la mujer» de los años 70 en adelante pasó a ser una lucha contra las posiciones, los roles, los estereotipos, los rasgos, y los deseos impuestos con la subordinación de las mujeres burguesas blancas. No se ocuparon de la opresión de género de nadie más. Concibieron a «la mujer» como un ser corpóreo y evidentemente blanco pero sin conciencia explícita de la modificación racial. Es decir, no se entendieron a sí mismas en términos interseccionales, en la intersección de raza, género, y otras potentes marcas de sujeción o dominación”. </w:t>
      </w:r>
    </w:p>
    <w:p>
      <w:pPr>
        <w:spacing w:before="0" w:after="20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María Lugones (1944-2020) fue una filósofa feminista argentina radicada en EE.UU, que comenzó a pensar en la necesidad de construir un feminismo que ampliara las perspectivas que tuvo desde sus comienzos el feminismo blanco o hegemónico, en tanto teoría crítica revolucionaria. En este sentido, Lugones ha retomado las críticas decoloniales de Aníbal Quijano para volver a pensarlas a la luz de la categoría de género. </w:t>
      </w:r>
    </w:p>
    <w:p>
      <w:pPr>
        <w:spacing w:before="0" w:after="200" w:line="360"/>
        <w:ind w:right="0" w:left="0" w:firstLine="0"/>
        <w:jc w:val="both"/>
        <w:rPr>
          <w:rFonts w:ascii="Calibri" w:hAnsi="Calibri" w:cs="Calibri" w:eastAsia="Calibri"/>
          <w:i/>
          <w:color w:val="auto"/>
          <w:spacing w:val="0"/>
          <w:position w:val="0"/>
          <w:sz w:val="22"/>
          <w:shd w:fill="auto" w:val="clear"/>
        </w:rPr>
      </w:pPr>
      <w:r>
        <w:rPr>
          <w:rFonts w:ascii="Calibri" w:hAnsi="Calibri" w:cs="Calibri" w:eastAsia="Calibri"/>
          <w:i/>
          <w:color w:val="auto"/>
          <w:spacing w:val="0"/>
          <w:position w:val="0"/>
          <w:sz w:val="22"/>
          <w:shd w:fill="auto" w:val="clear"/>
        </w:rPr>
        <w:t xml:space="preserve">(Reseña biográfica y selección de textos a cargo de Oliverio Gioffre y Malena Caló, alumnxs avanzadxs de la carrera de Filosofía, UBA)</w:t>
      </w:r>
    </w:p>
    <w:p>
      <w:pPr>
        <w:spacing w:before="0" w:after="200" w:line="360"/>
        <w:ind w:right="0" w:left="0" w:firstLine="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